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BBE" w:rsidRPr="00083F03" w:rsidRDefault="00CB2BBE" w:rsidP="00CB2BBE">
      <w:pPr>
        <w:pStyle w:val="SubtitleCover"/>
        <w:rPr>
          <w:rFonts w:ascii="Times New Roman" w:hAnsi="Times New Roman"/>
          <w:sz w:val="24"/>
          <w:szCs w:val="24"/>
          <w:lang w:val="en-IN"/>
        </w:rPr>
      </w:pPr>
      <w:bookmarkStart w:id="0" w:name="_GoBack"/>
    </w:p>
    <w:bookmarkEnd w:id="0"/>
    <w:p w:rsidR="00CB2BBE" w:rsidRPr="00327325" w:rsidRDefault="00327325" w:rsidP="00327325">
      <w:pPr>
        <w:jc w:val="center"/>
        <w:rPr>
          <w:rFonts w:ascii="Times New Roman" w:hAnsi="Times New Roman" w:cs="Times New Roman"/>
          <w:b/>
          <w:sz w:val="28"/>
          <w:szCs w:val="28"/>
        </w:rPr>
      </w:pPr>
      <w:r>
        <w:rPr>
          <w:rFonts w:ascii="Times New Roman" w:hAnsi="Times New Roman" w:cs="Times New Roman"/>
          <w:b/>
          <w:sz w:val="28"/>
          <w:szCs w:val="28"/>
        </w:rPr>
        <w:t xml:space="preserve">Comparative analysis of mechanism of anti-diabetic action of </w:t>
      </w:r>
      <w:r w:rsidRPr="00327325">
        <w:rPr>
          <w:rFonts w:ascii="Times New Roman" w:hAnsi="Times New Roman" w:cs="Times New Roman"/>
          <w:b/>
          <w:i/>
          <w:sz w:val="28"/>
          <w:szCs w:val="28"/>
        </w:rPr>
        <w:t xml:space="preserve">Nishakathakadi </w:t>
      </w:r>
      <w:r w:rsidR="00C80542">
        <w:rPr>
          <w:rFonts w:ascii="Times New Roman" w:hAnsi="Times New Roman" w:cs="Times New Roman"/>
          <w:b/>
          <w:i/>
          <w:sz w:val="28"/>
          <w:szCs w:val="28"/>
        </w:rPr>
        <w:t xml:space="preserve">Kashayam </w:t>
      </w:r>
      <w:r>
        <w:rPr>
          <w:rFonts w:ascii="Times New Roman" w:hAnsi="Times New Roman" w:cs="Times New Roman"/>
          <w:b/>
          <w:sz w:val="28"/>
          <w:szCs w:val="28"/>
        </w:rPr>
        <w:t xml:space="preserve">and </w:t>
      </w:r>
      <w:r w:rsidRPr="00327325">
        <w:rPr>
          <w:rFonts w:ascii="Times New Roman" w:hAnsi="Times New Roman" w:cs="Times New Roman"/>
          <w:b/>
          <w:i/>
          <w:sz w:val="28"/>
          <w:szCs w:val="28"/>
        </w:rPr>
        <w:t>Varanadi Kashayam</w:t>
      </w:r>
    </w:p>
    <w:p w:rsidR="00CB2BBE" w:rsidRPr="002646EE" w:rsidRDefault="00CB2BBE" w:rsidP="00CB2BBE">
      <w:pPr>
        <w:pStyle w:val="SubtitleCover"/>
        <w:rPr>
          <w:rFonts w:ascii="Times New Roman" w:hAnsi="Times New Roman"/>
          <w:sz w:val="24"/>
          <w:szCs w:val="24"/>
        </w:rPr>
      </w:pPr>
      <w:r w:rsidRPr="002646EE">
        <w:rPr>
          <w:rFonts w:ascii="Times New Roman" w:hAnsi="Times New Roman"/>
          <w:sz w:val="24"/>
          <w:szCs w:val="24"/>
        </w:rPr>
        <w:t xml:space="preserve">A thesis submitted to </w:t>
      </w:r>
    </w:p>
    <w:p w:rsidR="00CB2BBE" w:rsidRPr="002646EE" w:rsidRDefault="00CB2BBE" w:rsidP="00CB2BBE">
      <w:pPr>
        <w:pStyle w:val="BodyText"/>
        <w:spacing w:before="107"/>
        <w:ind w:right="-46"/>
        <w:jc w:val="center"/>
        <w:rPr>
          <w:rFonts w:ascii="Times New Roman" w:hAnsi="Times New Roman"/>
          <w:b/>
          <w:sz w:val="24"/>
          <w:szCs w:val="24"/>
        </w:rPr>
      </w:pPr>
      <w:r w:rsidRPr="002646EE">
        <w:rPr>
          <w:rFonts w:ascii="Times New Roman" w:hAnsi="Times New Roman"/>
          <w:b/>
          <w:sz w:val="24"/>
          <w:szCs w:val="24"/>
        </w:rPr>
        <w:t>THE UNIVERSITY OF TRANS-DISCIPLINARY HEALTH SCIENCES AND TECHNOLOGY</w:t>
      </w:r>
    </w:p>
    <w:p w:rsidR="00CB2BBE" w:rsidRPr="002646EE" w:rsidRDefault="00CB2BBE" w:rsidP="00CB2BBE">
      <w:pPr>
        <w:jc w:val="center"/>
        <w:rPr>
          <w:rFonts w:ascii="Times New Roman" w:hAnsi="Times New Roman" w:cs="Times New Roman"/>
          <w:i/>
          <w:iCs/>
          <w:color w:val="FF0000"/>
          <w:sz w:val="24"/>
          <w:szCs w:val="24"/>
        </w:rPr>
      </w:pPr>
      <w:r w:rsidRPr="002646EE">
        <w:rPr>
          <w:rFonts w:ascii="Times New Roman" w:hAnsi="Times New Roman" w:cs="Times New Roman"/>
          <w:i/>
          <w:iCs/>
          <w:noProof/>
          <w:color w:val="FF0000"/>
          <w:sz w:val="24"/>
          <w:szCs w:val="24"/>
          <w:lang w:eastAsia="en-IN"/>
        </w:rPr>
        <w:drawing>
          <wp:inline distT="0" distB="0" distL="0" distR="0" wp14:anchorId="154E8DF1" wp14:editId="01A8108D">
            <wp:extent cx="1981200" cy="1285875"/>
            <wp:effectExtent l="0" t="0" r="0" b="0"/>
            <wp:docPr id="16" name="Picture 16" descr="TDU logo new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U logo new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285875"/>
                    </a:xfrm>
                    <a:prstGeom prst="rect">
                      <a:avLst/>
                    </a:prstGeom>
                    <a:noFill/>
                    <a:ln>
                      <a:noFill/>
                    </a:ln>
                  </pic:spPr>
                </pic:pic>
              </a:graphicData>
            </a:graphic>
          </wp:inline>
        </w:drawing>
      </w:r>
    </w:p>
    <w:p w:rsidR="00CB2BBE" w:rsidRPr="002646EE" w:rsidRDefault="00CB2BBE" w:rsidP="00CB2BBE">
      <w:pPr>
        <w:jc w:val="center"/>
        <w:rPr>
          <w:rFonts w:ascii="Times New Roman" w:hAnsi="Times New Roman" w:cs="Times New Roman"/>
          <w:caps/>
          <w:spacing w:val="30"/>
          <w:kern w:val="20"/>
          <w:sz w:val="24"/>
          <w:szCs w:val="24"/>
        </w:rPr>
      </w:pPr>
      <w:r w:rsidRPr="002646EE">
        <w:rPr>
          <w:rFonts w:ascii="Times New Roman" w:hAnsi="Times New Roman" w:cs="Times New Roman"/>
          <w:caps/>
          <w:spacing w:val="30"/>
          <w:kern w:val="20"/>
          <w:sz w:val="24"/>
          <w:szCs w:val="24"/>
        </w:rPr>
        <w:t>For THE PARTIAL FULLFILLEMENT OF THE AWARD of the Degree of</w:t>
      </w:r>
    </w:p>
    <w:p w:rsidR="007A51B3" w:rsidRDefault="00CB2BBE" w:rsidP="007A51B3">
      <w:pPr>
        <w:jc w:val="center"/>
        <w:rPr>
          <w:rFonts w:ascii="Times New Roman" w:hAnsi="Times New Roman" w:cs="Times New Roman"/>
          <w:caps/>
          <w:spacing w:val="30"/>
          <w:kern w:val="20"/>
          <w:sz w:val="24"/>
          <w:szCs w:val="24"/>
        </w:rPr>
      </w:pPr>
      <w:r w:rsidRPr="002646EE">
        <w:rPr>
          <w:rFonts w:ascii="Times New Roman" w:hAnsi="Times New Roman" w:cs="Times New Roman"/>
          <w:caps/>
          <w:spacing w:val="30"/>
          <w:kern w:val="20"/>
          <w:sz w:val="24"/>
          <w:szCs w:val="24"/>
        </w:rPr>
        <w:t>M.S</w:t>
      </w:r>
      <w:r w:rsidRPr="002646EE">
        <w:rPr>
          <w:rFonts w:ascii="Times New Roman" w:hAnsi="Times New Roman" w:cs="Times New Roman"/>
          <w:spacing w:val="30"/>
          <w:kern w:val="20"/>
          <w:sz w:val="24"/>
          <w:szCs w:val="24"/>
        </w:rPr>
        <w:t>c</w:t>
      </w:r>
      <w:r w:rsidRPr="002646EE">
        <w:rPr>
          <w:rFonts w:ascii="Times New Roman" w:hAnsi="Times New Roman" w:cs="Times New Roman"/>
          <w:caps/>
          <w:spacing w:val="30"/>
          <w:kern w:val="20"/>
          <w:sz w:val="24"/>
          <w:szCs w:val="24"/>
        </w:rPr>
        <w:t>. Life sciences (ayurveda biology)</w:t>
      </w:r>
    </w:p>
    <w:p w:rsidR="007A51B3" w:rsidRDefault="007A51B3" w:rsidP="007A51B3">
      <w:pPr>
        <w:jc w:val="center"/>
        <w:rPr>
          <w:rFonts w:ascii="Times New Roman" w:hAnsi="Times New Roman" w:cs="Times New Roman"/>
          <w:caps/>
          <w:spacing w:val="30"/>
          <w:kern w:val="20"/>
          <w:sz w:val="24"/>
          <w:szCs w:val="24"/>
        </w:rPr>
      </w:pPr>
      <w:r>
        <w:rPr>
          <w:rFonts w:ascii="Times New Roman" w:hAnsi="Times New Roman" w:cs="Times New Roman"/>
          <w:caps/>
          <w:spacing w:val="30"/>
          <w:kern w:val="20"/>
          <w:sz w:val="24"/>
          <w:szCs w:val="24"/>
        </w:rPr>
        <w:t>BY</w:t>
      </w:r>
      <w:r>
        <w:rPr>
          <w:rFonts w:ascii="Times New Roman" w:hAnsi="Times New Roman" w:cs="Times New Roman"/>
          <w:caps/>
          <w:spacing w:val="30"/>
          <w:kern w:val="20"/>
          <w:sz w:val="24"/>
          <w:szCs w:val="24"/>
        </w:rPr>
        <w:br/>
      </w:r>
      <w:r w:rsidR="00327325">
        <w:rPr>
          <w:rFonts w:ascii="Times New Roman" w:hAnsi="Times New Roman" w:cs="Times New Roman"/>
          <w:caps/>
          <w:spacing w:val="30"/>
          <w:kern w:val="20"/>
          <w:sz w:val="24"/>
          <w:szCs w:val="24"/>
        </w:rPr>
        <w:t>Bhuvana Aradhya G.r</w:t>
      </w:r>
    </w:p>
    <w:p w:rsidR="007A51B3" w:rsidRDefault="007A51B3" w:rsidP="007A51B3">
      <w:pPr>
        <w:jc w:val="center"/>
        <w:rPr>
          <w:rFonts w:ascii="Times New Roman" w:hAnsi="Times New Roman" w:cs="Times New Roman"/>
          <w:caps/>
          <w:spacing w:val="30"/>
          <w:kern w:val="20"/>
          <w:sz w:val="24"/>
          <w:szCs w:val="24"/>
        </w:rPr>
      </w:pPr>
    </w:p>
    <w:p w:rsidR="007A51B3" w:rsidRDefault="00CB2BBE" w:rsidP="007A51B3">
      <w:pPr>
        <w:jc w:val="center"/>
        <w:rPr>
          <w:rFonts w:ascii="Times New Roman" w:hAnsi="Times New Roman" w:cs="Times New Roman"/>
          <w:caps/>
          <w:spacing w:val="30"/>
          <w:kern w:val="20"/>
          <w:sz w:val="24"/>
          <w:szCs w:val="24"/>
        </w:rPr>
      </w:pPr>
      <w:r w:rsidRPr="002646EE">
        <w:rPr>
          <w:rFonts w:ascii="Times New Roman" w:hAnsi="Times New Roman" w:cs="Times New Roman"/>
          <w:caps/>
          <w:spacing w:val="30"/>
          <w:kern w:val="20"/>
          <w:sz w:val="24"/>
          <w:szCs w:val="24"/>
        </w:rPr>
        <w:t>Under the Guidance of</w:t>
      </w:r>
    </w:p>
    <w:p w:rsidR="00CB2BBE" w:rsidRDefault="00327325" w:rsidP="007A51B3">
      <w:pPr>
        <w:jc w:val="center"/>
        <w:rPr>
          <w:rFonts w:ascii="Times New Roman" w:hAnsi="Times New Roman" w:cs="Times New Roman"/>
          <w:caps/>
          <w:spacing w:val="30"/>
          <w:kern w:val="20"/>
          <w:sz w:val="24"/>
          <w:szCs w:val="24"/>
        </w:rPr>
      </w:pPr>
      <w:r>
        <w:rPr>
          <w:rFonts w:ascii="Times New Roman" w:hAnsi="Times New Roman" w:cs="Times New Roman"/>
          <w:caps/>
          <w:spacing w:val="30"/>
          <w:kern w:val="20"/>
          <w:sz w:val="24"/>
          <w:szCs w:val="24"/>
        </w:rPr>
        <w:t>Dr.C.N Vishnuprasad</w:t>
      </w:r>
    </w:p>
    <w:p w:rsidR="003D0D4B" w:rsidRDefault="003D0D4B" w:rsidP="007A51B3">
      <w:pPr>
        <w:jc w:val="center"/>
        <w:rPr>
          <w:rFonts w:ascii="Times New Roman" w:hAnsi="Times New Roman" w:cs="Times New Roman"/>
          <w:caps/>
          <w:spacing w:val="30"/>
          <w:kern w:val="20"/>
          <w:sz w:val="24"/>
          <w:szCs w:val="24"/>
        </w:rPr>
      </w:pPr>
    </w:p>
    <w:p w:rsidR="003D0D4B" w:rsidRDefault="003D0D4B" w:rsidP="007A51B3">
      <w:pPr>
        <w:jc w:val="center"/>
        <w:rPr>
          <w:rFonts w:ascii="Times New Roman" w:hAnsi="Times New Roman" w:cs="Times New Roman"/>
          <w:caps/>
          <w:spacing w:val="30"/>
          <w:kern w:val="20"/>
          <w:sz w:val="24"/>
          <w:szCs w:val="24"/>
        </w:rPr>
      </w:pPr>
      <w:r>
        <w:rPr>
          <w:rFonts w:ascii="Times New Roman" w:hAnsi="Times New Roman" w:cs="Times New Roman"/>
          <w:caps/>
          <w:spacing w:val="30"/>
          <w:kern w:val="20"/>
          <w:sz w:val="24"/>
          <w:szCs w:val="24"/>
        </w:rPr>
        <w:t>JULY 2024</w:t>
      </w:r>
    </w:p>
    <w:p w:rsidR="007A51B3" w:rsidRPr="002646EE" w:rsidRDefault="007A51B3" w:rsidP="007A51B3">
      <w:pPr>
        <w:jc w:val="center"/>
        <w:rPr>
          <w:rFonts w:ascii="Times New Roman" w:hAnsi="Times New Roman" w:cs="Times New Roman"/>
          <w:caps/>
          <w:spacing w:val="30"/>
          <w:kern w:val="20"/>
          <w:sz w:val="24"/>
          <w:szCs w:val="24"/>
        </w:rPr>
      </w:pPr>
    </w:p>
    <w:p w:rsidR="00CB2BBE" w:rsidRPr="002646EE" w:rsidRDefault="00327325" w:rsidP="00CB2BBE">
      <w:pPr>
        <w:jc w:val="center"/>
        <w:rPr>
          <w:rFonts w:ascii="Times New Roman" w:hAnsi="Times New Roman" w:cs="Times New Roman"/>
          <w:caps/>
          <w:spacing w:val="30"/>
          <w:kern w:val="20"/>
          <w:sz w:val="24"/>
          <w:szCs w:val="24"/>
        </w:rPr>
      </w:pPr>
      <w:r>
        <w:rPr>
          <w:rFonts w:ascii="Times New Roman" w:hAnsi="Times New Roman" w:cs="Times New Roman"/>
          <w:caps/>
          <w:spacing w:val="30"/>
          <w:kern w:val="20"/>
          <w:sz w:val="24"/>
          <w:szCs w:val="24"/>
        </w:rPr>
        <w:t>The university of trans-disciplinary health sciences and technolo</w:t>
      </w:r>
      <w:r w:rsidR="007A51B3">
        <w:rPr>
          <w:rFonts w:ascii="Times New Roman" w:hAnsi="Times New Roman" w:cs="Times New Roman"/>
          <w:caps/>
          <w:spacing w:val="30"/>
          <w:kern w:val="20"/>
          <w:sz w:val="24"/>
          <w:szCs w:val="24"/>
        </w:rPr>
        <w:t>gy</w:t>
      </w:r>
    </w:p>
    <w:p w:rsidR="00CB2BBE" w:rsidRPr="002646EE" w:rsidRDefault="00CB2BBE" w:rsidP="00CB2BBE">
      <w:pPr>
        <w:jc w:val="center"/>
        <w:rPr>
          <w:rFonts w:ascii="Times New Roman" w:hAnsi="Times New Roman" w:cs="Times New Roman"/>
          <w:caps/>
          <w:spacing w:val="30"/>
          <w:kern w:val="20"/>
          <w:sz w:val="24"/>
          <w:szCs w:val="24"/>
        </w:rPr>
      </w:pPr>
    </w:p>
    <w:p w:rsidR="00CB2BBE" w:rsidRPr="002646EE" w:rsidRDefault="00CB2BBE" w:rsidP="00CB2BBE">
      <w:pPr>
        <w:jc w:val="center"/>
        <w:rPr>
          <w:rFonts w:ascii="Times New Roman" w:hAnsi="Times New Roman" w:cs="Times New Roman"/>
          <w:caps/>
          <w:spacing w:val="30"/>
          <w:kern w:val="20"/>
          <w:sz w:val="24"/>
          <w:szCs w:val="24"/>
        </w:rPr>
      </w:pPr>
    </w:p>
    <w:p w:rsidR="00CB2BBE" w:rsidRPr="002646EE" w:rsidRDefault="00CB2BBE" w:rsidP="00CB2BBE">
      <w:pPr>
        <w:jc w:val="center"/>
        <w:rPr>
          <w:rFonts w:ascii="Times New Roman" w:hAnsi="Times New Roman" w:cs="Times New Roman"/>
          <w:caps/>
          <w:spacing w:val="30"/>
          <w:kern w:val="20"/>
          <w:sz w:val="24"/>
          <w:szCs w:val="24"/>
        </w:rPr>
      </w:pPr>
    </w:p>
    <w:p w:rsidR="00CB2BBE" w:rsidRPr="007A51B3" w:rsidRDefault="00CB2BBE" w:rsidP="007A51B3">
      <w:pPr>
        <w:jc w:val="center"/>
        <w:rPr>
          <w:rFonts w:ascii="Times New Roman" w:hAnsi="Times New Roman" w:cs="Times New Roman"/>
          <w:caps/>
          <w:spacing w:val="30"/>
          <w:kern w:val="20"/>
          <w:sz w:val="24"/>
          <w:szCs w:val="24"/>
        </w:rPr>
      </w:pPr>
      <w:r w:rsidRPr="002646EE">
        <w:rPr>
          <w:rFonts w:ascii="Times New Roman" w:hAnsi="Times New Roman"/>
          <w:b/>
          <w:sz w:val="24"/>
          <w:szCs w:val="24"/>
        </w:rPr>
        <w:t>THE UNIVERSITY OF TRANS-DISCIPLINARY HEALTH SCIENCES AND TECHNOLOGY</w:t>
      </w:r>
    </w:p>
    <w:p w:rsidR="00CB2BBE" w:rsidRPr="002646EE" w:rsidRDefault="00CB2BBE" w:rsidP="00CB2BBE">
      <w:pPr>
        <w:ind w:right="95"/>
        <w:jc w:val="center"/>
        <w:rPr>
          <w:rFonts w:ascii="Times New Roman" w:hAnsi="Times New Roman" w:cs="Times New Roman"/>
          <w:b/>
          <w:sz w:val="24"/>
          <w:szCs w:val="24"/>
        </w:rPr>
      </w:pPr>
      <w:r w:rsidRPr="002646EE">
        <w:rPr>
          <w:rFonts w:ascii="Times New Roman" w:hAnsi="Times New Roman" w:cs="Times New Roman"/>
          <w:b/>
          <w:sz w:val="24"/>
          <w:szCs w:val="24"/>
        </w:rPr>
        <w:t>Private University Established in Karnataka by ACT 35 of 2013</w:t>
      </w:r>
    </w:p>
    <w:p w:rsidR="00CB2BBE" w:rsidRPr="002646EE" w:rsidRDefault="00CB2BBE" w:rsidP="00CB2BBE">
      <w:pPr>
        <w:pStyle w:val="BodyText"/>
        <w:spacing w:after="0"/>
        <w:ind w:right="174"/>
        <w:jc w:val="center"/>
        <w:rPr>
          <w:rFonts w:ascii="Times New Roman" w:hAnsi="Times New Roman"/>
          <w:b/>
          <w:sz w:val="24"/>
          <w:szCs w:val="24"/>
        </w:rPr>
      </w:pPr>
      <w:r w:rsidRPr="002646EE">
        <w:rPr>
          <w:rFonts w:ascii="Times New Roman" w:hAnsi="Times New Roman"/>
          <w:b/>
          <w:sz w:val="24"/>
          <w:szCs w:val="24"/>
        </w:rPr>
        <w:t>BENGALURU - 560064</w:t>
      </w:r>
    </w:p>
    <w:p w:rsidR="00CB2BBE" w:rsidRPr="002646EE" w:rsidRDefault="00CB2BBE" w:rsidP="00CB2BBE">
      <w:pPr>
        <w:jc w:val="center"/>
        <w:rPr>
          <w:rFonts w:ascii="Times New Roman" w:hAnsi="Times New Roman" w:cs="Times New Roman"/>
          <w:caps/>
          <w:spacing w:val="30"/>
          <w:kern w:val="20"/>
          <w:sz w:val="24"/>
          <w:szCs w:val="24"/>
        </w:rPr>
      </w:pPr>
    </w:p>
    <w:p w:rsidR="00CB2BBE" w:rsidRPr="002646EE" w:rsidRDefault="00CB2BBE" w:rsidP="00CB2BBE">
      <w:pPr>
        <w:jc w:val="center"/>
        <w:rPr>
          <w:rFonts w:ascii="Times New Roman" w:hAnsi="Times New Roman" w:cs="Times New Roman"/>
          <w:caps/>
          <w:spacing w:val="30"/>
          <w:kern w:val="20"/>
          <w:sz w:val="24"/>
          <w:szCs w:val="24"/>
        </w:rPr>
      </w:pPr>
    </w:p>
    <w:p w:rsidR="00CB2BBE" w:rsidRPr="002646EE" w:rsidRDefault="00CB2BBE" w:rsidP="00CB2BBE">
      <w:pPr>
        <w:spacing w:line="480" w:lineRule="auto"/>
        <w:jc w:val="center"/>
        <w:rPr>
          <w:rFonts w:ascii="Times New Roman" w:eastAsia="Calibri" w:hAnsi="Times New Roman" w:cs="Times New Roman"/>
          <w:b/>
          <w:sz w:val="24"/>
          <w:szCs w:val="24"/>
          <w:lang w:val="en-US"/>
        </w:rPr>
      </w:pPr>
    </w:p>
    <w:p w:rsidR="00CB2BBE" w:rsidRPr="002646EE" w:rsidRDefault="00CB2BBE" w:rsidP="00CB2BBE">
      <w:pPr>
        <w:spacing w:line="480" w:lineRule="auto"/>
        <w:jc w:val="center"/>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DECLARATION BY THE CANDIDATE</w:t>
      </w:r>
    </w:p>
    <w:p w:rsidR="00CB2BBE" w:rsidRPr="002646EE" w:rsidRDefault="00CB2BBE" w:rsidP="00CB2BBE">
      <w:pPr>
        <w:spacing w:line="480" w:lineRule="auto"/>
        <w:jc w:val="center"/>
        <w:rPr>
          <w:rFonts w:ascii="Times New Roman" w:eastAsia="Calibri" w:hAnsi="Times New Roman" w:cs="Times New Roman"/>
          <w:b/>
          <w:sz w:val="24"/>
          <w:szCs w:val="24"/>
          <w:lang w:val="en-GB"/>
        </w:rPr>
      </w:pPr>
    </w:p>
    <w:p w:rsidR="00CB2BBE" w:rsidRPr="00A54FAA" w:rsidRDefault="00CB2BBE" w:rsidP="00C10683">
      <w:pPr>
        <w:pStyle w:val="BodyText"/>
        <w:spacing w:before="107" w:line="360" w:lineRule="auto"/>
        <w:ind w:right="-46" w:firstLine="0"/>
        <w:rPr>
          <w:rStyle w:val="NormalWebChar"/>
          <w:rFonts w:eastAsia="Calibri"/>
        </w:rPr>
      </w:pPr>
      <w:r w:rsidRPr="00A54FAA">
        <w:rPr>
          <w:rStyle w:val="NormalWebChar"/>
          <w:rFonts w:eastAsia="Calibri"/>
        </w:rPr>
        <w:t>I declare that this thesis</w:t>
      </w:r>
      <w:r w:rsidR="007A51B3" w:rsidRPr="00A54FAA">
        <w:rPr>
          <w:rStyle w:val="NormalWebChar"/>
          <w:rFonts w:eastAsia="Calibri"/>
        </w:rPr>
        <w:t xml:space="preserve"> </w:t>
      </w:r>
      <w:r w:rsidR="007A51B3">
        <w:rPr>
          <w:rFonts w:ascii="Times New Roman" w:eastAsia="Calibri" w:hAnsi="Times New Roman"/>
          <w:b/>
          <w:sz w:val="24"/>
          <w:szCs w:val="24"/>
          <w:lang w:val="en-GB"/>
        </w:rPr>
        <w:t>“</w:t>
      </w:r>
      <w:r w:rsidR="00C80542" w:rsidRPr="00C80542">
        <w:rPr>
          <w:rFonts w:ascii="Times New Roman" w:hAnsi="Times New Roman"/>
          <w:b/>
          <w:sz w:val="24"/>
          <w:szCs w:val="24"/>
        </w:rPr>
        <w:t xml:space="preserve">Comparative analysis of mechanism of anti-diabetic action of </w:t>
      </w:r>
      <w:r w:rsidR="00C80542" w:rsidRPr="00C80542">
        <w:rPr>
          <w:rFonts w:ascii="Times New Roman" w:hAnsi="Times New Roman"/>
          <w:b/>
          <w:i/>
          <w:sz w:val="24"/>
          <w:szCs w:val="24"/>
        </w:rPr>
        <w:t xml:space="preserve">Nishakathakadi Kashayam </w:t>
      </w:r>
      <w:r w:rsidR="00C80542" w:rsidRPr="00C80542">
        <w:rPr>
          <w:rFonts w:ascii="Times New Roman" w:hAnsi="Times New Roman"/>
          <w:b/>
          <w:sz w:val="24"/>
          <w:szCs w:val="24"/>
        </w:rPr>
        <w:t xml:space="preserve">and </w:t>
      </w:r>
      <w:r w:rsidR="00C80542" w:rsidRPr="00C80542">
        <w:rPr>
          <w:rFonts w:ascii="Times New Roman" w:hAnsi="Times New Roman"/>
          <w:b/>
          <w:i/>
          <w:sz w:val="24"/>
          <w:szCs w:val="24"/>
        </w:rPr>
        <w:t>Varanadi Kashayam</w:t>
      </w:r>
      <w:r w:rsidR="007A51B3" w:rsidRPr="00C80542">
        <w:rPr>
          <w:rFonts w:ascii="Times New Roman" w:eastAsia="Calibri" w:hAnsi="Times New Roman"/>
          <w:b/>
          <w:sz w:val="24"/>
          <w:szCs w:val="24"/>
          <w:lang w:val="en-GB"/>
        </w:rPr>
        <w:t>”</w:t>
      </w:r>
      <w:r w:rsidR="007A51B3" w:rsidRPr="00C80542">
        <w:rPr>
          <w:rStyle w:val="NormalWebChar"/>
          <w:rFonts w:eastAsia="Calibri"/>
        </w:rPr>
        <w:t xml:space="preserve"> </w:t>
      </w:r>
      <w:r w:rsidRPr="00C80542">
        <w:rPr>
          <w:rStyle w:val="NormalWebChar"/>
          <w:rFonts w:eastAsia="Calibri"/>
        </w:rPr>
        <w:t>submitted for the award of Master of Scienc</w:t>
      </w:r>
      <w:r w:rsidRPr="00A54FAA">
        <w:rPr>
          <w:rStyle w:val="NormalWebChar"/>
          <w:rFonts w:eastAsia="Calibri"/>
        </w:rPr>
        <w:t xml:space="preserve">e to </w:t>
      </w:r>
      <w:r w:rsidR="00C10683">
        <w:rPr>
          <w:rStyle w:val="NormalWebChar"/>
        </w:rPr>
        <w:t xml:space="preserve">THE </w:t>
      </w:r>
      <w:r w:rsidRPr="00A54FAA">
        <w:rPr>
          <w:rStyle w:val="NormalWebChar"/>
        </w:rPr>
        <w:t>UNIVERSITY OF TRANS-DISCIPLINARY HEALTH SCIENCES AND TECHNOLOGY, Bengaluru,</w:t>
      </w:r>
      <w:r w:rsidRPr="00A54FAA">
        <w:rPr>
          <w:rStyle w:val="NormalWebChar"/>
          <w:rFonts w:eastAsia="Calibri"/>
        </w:rPr>
        <w:t xml:space="preserve"> is my original work, conducted un</w:t>
      </w:r>
      <w:r w:rsidR="00C10683">
        <w:rPr>
          <w:rStyle w:val="NormalWebChar"/>
          <w:rFonts w:eastAsia="Calibri"/>
        </w:rPr>
        <w:t>der the supervision of Dr. C. N.</w:t>
      </w:r>
      <w:r w:rsidR="007A51B3" w:rsidRPr="00A54FAA">
        <w:rPr>
          <w:rStyle w:val="NormalWebChar"/>
          <w:rFonts w:eastAsia="Calibri"/>
        </w:rPr>
        <w:t xml:space="preserve"> Vishnuprasad</w:t>
      </w:r>
      <w:r w:rsidR="00C80542">
        <w:rPr>
          <w:rStyle w:val="NormalWebChar"/>
          <w:rFonts w:eastAsia="Calibri"/>
        </w:rPr>
        <w:t>.</w:t>
      </w:r>
      <w:r w:rsidRPr="00A54FAA">
        <w:rPr>
          <w:rStyle w:val="NormalWebChar"/>
          <w:rFonts w:eastAsia="Calibri"/>
        </w:rPr>
        <w:t xml:space="preserve"> I confirm that no part of the work reported herein has been submitted for a degree or examination at any other university. References, funding and material obtained from other sources have been duly acknowledged, and no part of this dissertation has been </w:t>
      </w:r>
      <w:r w:rsidR="00C80542" w:rsidRPr="00A54FAA">
        <w:rPr>
          <w:rStyle w:val="NormalWebChar"/>
          <w:rFonts w:eastAsia="Calibri"/>
        </w:rPr>
        <w:t>plagiarized</w:t>
      </w:r>
      <w:r w:rsidRPr="00A54FAA">
        <w:rPr>
          <w:rStyle w:val="NormalWebChar"/>
          <w:rFonts w:eastAsia="Calibri"/>
        </w:rPr>
        <w:t>.</w:t>
      </w:r>
    </w:p>
    <w:p w:rsidR="00CB2BBE" w:rsidRPr="002646EE" w:rsidRDefault="00CB2BBE" w:rsidP="00CB2BBE">
      <w:pPr>
        <w:spacing w:line="360" w:lineRule="auto"/>
        <w:jc w:val="both"/>
        <w:rPr>
          <w:rFonts w:ascii="Times New Roman" w:eastAsia="Calibri" w:hAnsi="Times New Roman" w:cs="Times New Roman"/>
          <w:b/>
          <w:sz w:val="24"/>
          <w:szCs w:val="24"/>
          <w:lang w:val="en-GB"/>
        </w:rPr>
      </w:pPr>
    </w:p>
    <w:p w:rsidR="00CB2BBE" w:rsidRPr="002646EE" w:rsidRDefault="00CB2BBE" w:rsidP="00CB2BBE">
      <w:pPr>
        <w:spacing w:line="360" w:lineRule="auto"/>
        <w:jc w:val="both"/>
        <w:rPr>
          <w:rFonts w:ascii="Times New Roman" w:eastAsia="Calibri" w:hAnsi="Times New Roman" w:cs="Times New Roman"/>
          <w:b/>
          <w:sz w:val="24"/>
          <w:szCs w:val="24"/>
          <w:lang w:val="en-GB"/>
        </w:rPr>
      </w:pPr>
    </w:p>
    <w:p w:rsidR="007A51B3" w:rsidRDefault="00CB2BBE" w:rsidP="00CB2BBE">
      <w:pPr>
        <w:spacing w:line="360" w:lineRule="auto"/>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 xml:space="preserve">Place: </w:t>
      </w:r>
      <w:r w:rsidRPr="002646EE">
        <w:rPr>
          <w:rFonts w:ascii="Times New Roman" w:eastAsia="Calibri" w:hAnsi="Times New Roman" w:cs="Times New Roman"/>
          <w:b/>
          <w:sz w:val="24"/>
          <w:szCs w:val="24"/>
          <w:lang w:val="en-GB"/>
        </w:rPr>
        <w:tab/>
      </w:r>
      <w:r w:rsidR="007A51B3">
        <w:rPr>
          <w:rFonts w:ascii="Times New Roman" w:eastAsia="Calibri" w:hAnsi="Times New Roman" w:cs="Times New Roman"/>
          <w:b/>
          <w:sz w:val="24"/>
          <w:szCs w:val="24"/>
          <w:lang w:val="en-GB"/>
        </w:rPr>
        <w:t>Bengaluru</w:t>
      </w:r>
    </w:p>
    <w:p w:rsidR="007A51B3" w:rsidRDefault="00BD4356" w:rsidP="00CB2BBE">
      <w:pPr>
        <w:spacing w:line="360" w:lineRule="auto"/>
        <w:rPr>
          <w:rFonts w:ascii="Times New Roman" w:eastAsia="Calibri" w:hAnsi="Times New Roman" w:cs="Times New Roman"/>
          <w:b/>
          <w:sz w:val="24"/>
          <w:szCs w:val="24"/>
          <w:lang w:val="en-GB"/>
        </w:rPr>
      </w:pPr>
      <w:r>
        <w:rPr>
          <w:rFonts w:ascii="Times New Roman" w:eastAsia="Calibri" w:hAnsi="Times New Roman" w:cs="Times New Roman"/>
          <w:b/>
          <w:noProof/>
          <w:sz w:val="24"/>
          <w:szCs w:val="24"/>
          <w:lang w:eastAsia="en-IN"/>
        </w:rPr>
        <w:drawing>
          <wp:inline distT="0" distB="0" distL="0" distR="0" wp14:anchorId="776A3424">
            <wp:extent cx="1444625" cy="6521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4625" cy="652145"/>
                    </a:xfrm>
                    <a:prstGeom prst="rect">
                      <a:avLst/>
                    </a:prstGeom>
                    <a:noFill/>
                  </pic:spPr>
                </pic:pic>
              </a:graphicData>
            </a:graphic>
          </wp:inline>
        </w:drawing>
      </w:r>
    </w:p>
    <w:p w:rsidR="00CB2BBE" w:rsidRPr="002646EE" w:rsidRDefault="00CB2BBE" w:rsidP="00CB2BBE">
      <w:pPr>
        <w:spacing w:line="360" w:lineRule="auto"/>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 xml:space="preserve">Signature of the Candidate </w:t>
      </w:r>
    </w:p>
    <w:p w:rsidR="00CB2BBE" w:rsidRPr="002646EE" w:rsidRDefault="00CB2BBE" w:rsidP="00CB2BBE">
      <w:pPr>
        <w:tabs>
          <w:tab w:val="left" w:pos="2149"/>
        </w:tabs>
        <w:spacing w:line="360" w:lineRule="auto"/>
        <w:jc w:val="both"/>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Date:</w:t>
      </w:r>
      <w:r w:rsidR="007A51B3">
        <w:rPr>
          <w:rFonts w:ascii="Times New Roman" w:eastAsia="Calibri" w:hAnsi="Times New Roman" w:cs="Times New Roman"/>
          <w:b/>
          <w:sz w:val="24"/>
          <w:szCs w:val="24"/>
          <w:lang w:val="en-GB"/>
        </w:rPr>
        <w:t xml:space="preserve"> 19-06-2024</w:t>
      </w:r>
    </w:p>
    <w:p w:rsidR="00CB2BBE" w:rsidRPr="002646EE" w:rsidRDefault="00CB2BBE" w:rsidP="00CB2BBE">
      <w:pPr>
        <w:tabs>
          <w:tab w:val="left" w:pos="2149"/>
        </w:tabs>
        <w:spacing w:line="360" w:lineRule="auto"/>
        <w:jc w:val="both"/>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ab/>
      </w:r>
    </w:p>
    <w:p w:rsidR="00CB2BBE" w:rsidRPr="002646EE" w:rsidRDefault="00CB2BBE" w:rsidP="00CB2BBE">
      <w:pPr>
        <w:spacing w:line="276" w:lineRule="auto"/>
        <w:jc w:val="both"/>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 xml:space="preserve">Name of candidate: </w:t>
      </w:r>
      <w:r w:rsidR="007A51B3">
        <w:rPr>
          <w:rFonts w:ascii="Times New Roman" w:eastAsia="Calibri" w:hAnsi="Times New Roman" w:cs="Times New Roman"/>
          <w:b/>
          <w:sz w:val="24"/>
          <w:szCs w:val="24"/>
          <w:lang w:val="en-GB"/>
        </w:rPr>
        <w:t xml:space="preserve"> BHUVANA ARADHYA G.R</w:t>
      </w:r>
    </w:p>
    <w:p w:rsidR="00CB2BBE" w:rsidRPr="002646EE" w:rsidRDefault="00CB2BBE" w:rsidP="00CB2BBE">
      <w:pPr>
        <w:spacing w:line="276" w:lineRule="auto"/>
        <w:jc w:val="both"/>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Reg. No.:</w:t>
      </w:r>
      <w:r w:rsidR="003C214A">
        <w:rPr>
          <w:rFonts w:ascii="Times New Roman" w:eastAsia="Calibri" w:hAnsi="Times New Roman" w:cs="Times New Roman"/>
          <w:b/>
          <w:sz w:val="24"/>
          <w:szCs w:val="24"/>
          <w:lang w:val="en-GB"/>
        </w:rPr>
        <w:t xml:space="preserve"> 2022MSC</w:t>
      </w:r>
      <w:r w:rsidR="00BF2A28">
        <w:rPr>
          <w:rFonts w:ascii="Times New Roman" w:eastAsia="Calibri" w:hAnsi="Times New Roman" w:cs="Times New Roman"/>
          <w:b/>
          <w:sz w:val="24"/>
          <w:szCs w:val="24"/>
          <w:lang w:val="en-GB"/>
        </w:rPr>
        <w:t>AB06</w:t>
      </w:r>
    </w:p>
    <w:p w:rsidR="00CB2BBE" w:rsidRPr="002646EE" w:rsidRDefault="00CB2BBE" w:rsidP="00CB2BBE">
      <w:pPr>
        <w:spacing w:line="480" w:lineRule="auto"/>
        <w:ind w:left="-180"/>
        <w:jc w:val="center"/>
        <w:rPr>
          <w:rFonts w:ascii="Times New Roman" w:eastAsia="Calibri" w:hAnsi="Times New Roman" w:cs="Times New Roman"/>
          <w:b/>
          <w:sz w:val="24"/>
          <w:szCs w:val="24"/>
        </w:rPr>
      </w:pPr>
      <w:r w:rsidRPr="002646EE">
        <w:rPr>
          <w:rFonts w:ascii="Times New Roman" w:eastAsia="Calibri" w:hAnsi="Times New Roman" w:cs="Times New Roman"/>
          <w:b/>
          <w:sz w:val="24"/>
          <w:szCs w:val="24"/>
          <w:lang w:val="en-GB"/>
        </w:rPr>
        <w:br w:type="page"/>
      </w:r>
      <w:r w:rsidRPr="002646EE">
        <w:rPr>
          <w:rFonts w:ascii="Times New Roman" w:hAnsi="Times New Roman" w:cs="Times New Roman"/>
          <w:b/>
          <w:sz w:val="24"/>
          <w:szCs w:val="24"/>
        </w:rPr>
        <w:lastRenderedPageBreak/>
        <w:t>THE UNIVERSITY OF TRANS-DISCIPLINARY HEALTH SCIENCES AND TECHNOLOGY</w:t>
      </w:r>
    </w:p>
    <w:p w:rsidR="00CB2BBE" w:rsidRPr="002646EE" w:rsidRDefault="00CB2BBE" w:rsidP="00CB2BBE">
      <w:pPr>
        <w:ind w:right="95"/>
        <w:jc w:val="center"/>
        <w:rPr>
          <w:rFonts w:ascii="Times New Roman" w:hAnsi="Times New Roman" w:cs="Times New Roman"/>
          <w:b/>
          <w:sz w:val="24"/>
          <w:szCs w:val="24"/>
        </w:rPr>
      </w:pPr>
      <w:r w:rsidRPr="002646EE">
        <w:rPr>
          <w:rFonts w:ascii="Times New Roman" w:hAnsi="Times New Roman" w:cs="Times New Roman"/>
          <w:b/>
          <w:sz w:val="24"/>
          <w:szCs w:val="24"/>
        </w:rPr>
        <w:t>Private University Established in Karnataka by ACT 35 of 2013</w:t>
      </w:r>
    </w:p>
    <w:p w:rsidR="00CB2BBE" w:rsidRPr="002646EE" w:rsidRDefault="00CB2BBE" w:rsidP="00CB2BBE">
      <w:pPr>
        <w:pStyle w:val="BodyText"/>
        <w:ind w:right="174"/>
        <w:jc w:val="center"/>
        <w:rPr>
          <w:rFonts w:ascii="Times New Roman" w:hAnsi="Times New Roman"/>
          <w:b/>
          <w:sz w:val="24"/>
          <w:szCs w:val="24"/>
        </w:rPr>
      </w:pPr>
      <w:r w:rsidRPr="002646EE">
        <w:rPr>
          <w:rFonts w:ascii="Times New Roman" w:hAnsi="Times New Roman"/>
          <w:b/>
          <w:sz w:val="24"/>
          <w:szCs w:val="24"/>
        </w:rPr>
        <w:t>BENGALURU - 560064</w:t>
      </w:r>
    </w:p>
    <w:p w:rsidR="00CB2BBE" w:rsidRPr="002646EE" w:rsidRDefault="00CB2BBE" w:rsidP="00CB2BBE">
      <w:pPr>
        <w:spacing w:line="480" w:lineRule="auto"/>
        <w:jc w:val="center"/>
        <w:rPr>
          <w:rFonts w:ascii="Times New Roman" w:eastAsia="Calibri" w:hAnsi="Times New Roman" w:cs="Times New Roman"/>
          <w:b/>
          <w:sz w:val="24"/>
          <w:szCs w:val="24"/>
        </w:rPr>
      </w:pPr>
    </w:p>
    <w:p w:rsidR="00CB2BBE" w:rsidRPr="002646EE" w:rsidRDefault="00CB2BBE" w:rsidP="00CB2BBE">
      <w:pPr>
        <w:spacing w:line="480" w:lineRule="auto"/>
        <w:jc w:val="center"/>
        <w:rPr>
          <w:rFonts w:ascii="Times New Roman" w:eastAsia="Calibri" w:hAnsi="Times New Roman" w:cs="Times New Roman"/>
          <w:b/>
          <w:sz w:val="24"/>
          <w:szCs w:val="24"/>
          <w:lang w:val="en-GB"/>
        </w:rPr>
      </w:pPr>
      <w:r w:rsidRPr="002646EE">
        <w:rPr>
          <w:rFonts w:ascii="Times New Roman" w:eastAsia="Calibri" w:hAnsi="Times New Roman" w:cs="Times New Roman"/>
          <w:b/>
          <w:sz w:val="24"/>
          <w:szCs w:val="24"/>
          <w:lang w:val="en-GB"/>
        </w:rPr>
        <w:t>CERTIFICATE FROM THESIS SUPERVISOR/S</w:t>
      </w:r>
    </w:p>
    <w:p w:rsidR="00CB2BBE" w:rsidRPr="00BF2A28" w:rsidRDefault="00CB2BBE" w:rsidP="00BF2A28">
      <w:pPr>
        <w:pStyle w:val="BodyText"/>
        <w:spacing w:before="107" w:line="360" w:lineRule="auto"/>
        <w:ind w:right="-46" w:firstLine="0"/>
        <w:rPr>
          <w:rStyle w:val="NormalWebChar"/>
          <w:rFonts w:eastAsia="Calibri"/>
        </w:rPr>
      </w:pPr>
      <w:r w:rsidRPr="002646EE">
        <w:rPr>
          <w:rFonts w:ascii="Times New Roman" w:eastAsia="Calibri" w:hAnsi="Times New Roman"/>
          <w:sz w:val="24"/>
          <w:szCs w:val="24"/>
          <w:lang w:val="en-GB"/>
        </w:rPr>
        <w:t xml:space="preserve">This is to certify that the work incorporated in this thesis </w:t>
      </w:r>
      <w:r w:rsidR="00BF2A28" w:rsidRPr="00C80542">
        <w:rPr>
          <w:rFonts w:ascii="Times New Roman" w:eastAsia="Calibri" w:hAnsi="Times New Roman"/>
          <w:b/>
          <w:sz w:val="24"/>
          <w:szCs w:val="24"/>
          <w:lang w:val="en-GB"/>
        </w:rPr>
        <w:t>“</w:t>
      </w:r>
      <w:r w:rsidR="00C80542" w:rsidRPr="00C80542">
        <w:rPr>
          <w:rFonts w:ascii="Times New Roman" w:hAnsi="Times New Roman"/>
          <w:b/>
          <w:sz w:val="24"/>
          <w:szCs w:val="24"/>
        </w:rPr>
        <w:t xml:space="preserve">Comparative analysis of mechanism of anti-diabetic action of </w:t>
      </w:r>
      <w:r w:rsidR="00C80542" w:rsidRPr="00C80542">
        <w:rPr>
          <w:rFonts w:ascii="Times New Roman" w:hAnsi="Times New Roman"/>
          <w:b/>
          <w:i/>
          <w:sz w:val="24"/>
          <w:szCs w:val="24"/>
        </w:rPr>
        <w:t xml:space="preserve">Nishakathakadi Kashayam </w:t>
      </w:r>
      <w:r w:rsidR="00C80542" w:rsidRPr="00C80542">
        <w:rPr>
          <w:rFonts w:ascii="Times New Roman" w:hAnsi="Times New Roman"/>
          <w:b/>
          <w:sz w:val="24"/>
          <w:szCs w:val="24"/>
        </w:rPr>
        <w:t xml:space="preserve">and </w:t>
      </w:r>
      <w:r w:rsidR="00C80542" w:rsidRPr="00C80542">
        <w:rPr>
          <w:rFonts w:ascii="Times New Roman" w:hAnsi="Times New Roman"/>
          <w:b/>
          <w:i/>
          <w:sz w:val="24"/>
          <w:szCs w:val="24"/>
        </w:rPr>
        <w:t>Varanadi Kashayam</w:t>
      </w:r>
      <w:r w:rsidR="00BF2A28" w:rsidRPr="00C80542">
        <w:rPr>
          <w:rFonts w:ascii="Times New Roman" w:eastAsia="Calibri" w:hAnsi="Times New Roman"/>
          <w:b/>
          <w:sz w:val="24"/>
          <w:szCs w:val="24"/>
          <w:lang w:val="en-GB"/>
        </w:rPr>
        <w:t xml:space="preserve">” </w:t>
      </w:r>
      <w:r w:rsidRPr="00C80542">
        <w:rPr>
          <w:rStyle w:val="NormalWebChar"/>
          <w:rFonts w:eastAsia="Calibri"/>
        </w:rPr>
        <w:t>submitted by</w:t>
      </w:r>
      <w:r w:rsidR="00BF2A28" w:rsidRPr="00C80542">
        <w:rPr>
          <w:rStyle w:val="NormalWebChar"/>
          <w:rFonts w:eastAsia="Calibri"/>
        </w:rPr>
        <w:t xml:space="preserve"> Ms. Bhuvana Aradhya G.R was c</w:t>
      </w:r>
      <w:r w:rsidR="00BF2A28" w:rsidRPr="00BF2A28">
        <w:rPr>
          <w:rStyle w:val="NormalWebChar"/>
          <w:rFonts w:eastAsia="Calibri"/>
        </w:rPr>
        <w:t xml:space="preserve">arried out under my </w:t>
      </w:r>
      <w:r w:rsidRPr="00BF2A28">
        <w:rPr>
          <w:rStyle w:val="NormalWebChar"/>
          <w:rFonts w:eastAsia="Calibri"/>
        </w:rPr>
        <w:t>supervision. No part of this thesis has been submitted for a degree or examination at any other university. References, help and material obtained from other sources have been duly acknowledged. I confirm the originality of the work and that there is no plagiarism in any part of the thesis.</w:t>
      </w:r>
    </w:p>
    <w:p w:rsidR="00CB2BBE" w:rsidRPr="002646EE" w:rsidRDefault="00CB2BBE" w:rsidP="00CB2BBE">
      <w:pPr>
        <w:spacing w:line="480" w:lineRule="auto"/>
        <w:jc w:val="both"/>
        <w:rPr>
          <w:rFonts w:ascii="Times New Roman" w:eastAsia="Calibri" w:hAnsi="Times New Roman" w:cs="Times New Roman"/>
          <w:sz w:val="24"/>
          <w:szCs w:val="24"/>
          <w:lang w:val="en-G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739"/>
        <w:gridCol w:w="3349"/>
      </w:tblGrid>
      <w:tr w:rsidR="00CB2BBE" w:rsidRPr="002646EE" w:rsidTr="00C80542">
        <w:tc>
          <w:tcPr>
            <w:tcW w:w="2876" w:type="dxa"/>
          </w:tcPr>
          <w:p w:rsidR="00BF2A28" w:rsidRDefault="00C80542" w:rsidP="00A84C31">
            <w:pPr>
              <w:spacing w:line="480" w:lineRule="auto"/>
              <w:rPr>
                <w:rFonts w:ascii="Times New Roman" w:hAnsi="Times New Roman" w:cs="Times New Roman"/>
                <w:sz w:val="24"/>
                <w:szCs w:val="24"/>
                <w:lang w:val="en-GB"/>
              </w:rPr>
            </w:pPr>
            <w:r>
              <w:rPr>
                <w:rFonts w:ascii="Times New Roman" w:hAnsi="Times New Roman" w:cs="Times New Roman"/>
                <w:noProof/>
                <w:sz w:val="24"/>
                <w:szCs w:val="24"/>
                <w:lang w:eastAsia="en-IN"/>
              </w:rPr>
              <w:drawing>
                <wp:inline distT="0" distB="0" distL="0" distR="0">
                  <wp:extent cx="1838325" cy="866775"/>
                  <wp:effectExtent l="0" t="0" r="9525" b="9525"/>
                  <wp:docPr id="1574384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84276" name="Picture 1574384276"/>
                          <pic:cNvPicPr/>
                        </pic:nvPicPr>
                        <pic:blipFill>
                          <a:blip r:embed="rId10">
                            <a:extLst>
                              <a:ext uri="{28A0092B-C50C-407E-A947-70E740481C1C}">
                                <a14:useLocalDpi xmlns:a14="http://schemas.microsoft.com/office/drawing/2010/main" val="0"/>
                              </a:ext>
                            </a:extLst>
                          </a:blip>
                          <a:stretch>
                            <a:fillRect/>
                          </a:stretch>
                        </pic:blipFill>
                        <pic:spPr>
                          <a:xfrm>
                            <a:off x="0" y="0"/>
                            <a:ext cx="1838325" cy="866775"/>
                          </a:xfrm>
                          <a:prstGeom prst="rect">
                            <a:avLst/>
                          </a:prstGeom>
                        </pic:spPr>
                      </pic:pic>
                    </a:graphicData>
                  </a:graphic>
                </wp:inline>
              </w:drawing>
            </w:r>
          </w:p>
          <w:p w:rsidR="00CB2BBE" w:rsidRPr="002646EE" w:rsidRDefault="00BF2A28" w:rsidP="00A84C3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Dr. C. N. Vishnuprasad</w:t>
            </w:r>
          </w:p>
        </w:tc>
        <w:tc>
          <w:tcPr>
            <w:tcW w:w="2877" w:type="dxa"/>
          </w:tcPr>
          <w:p w:rsidR="00CB2BBE" w:rsidRPr="002646EE" w:rsidRDefault="00CB2BBE" w:rsidP="00A84C31">
            <w:pPr>
              <w:spacing w:line="480" w:lineRule="auto"/>
              <w:rPr>
                <w:rFonts w:ascii="Times New Roman" w:hAnsi="Times New Roman" w:cs="Times New Roman"/>
                <w:sz w:val="24"/>
                <w:szCs w:val="24"/>
                <w:lang w:val="en-GB"/>
              </w:rPr>
            </w:pPr>
          </w:p>
        </w:tc>
        <w:tc>
          <w:tcPr>
            <w:tcW w:w="3461" w:type="dxa"/>
          </w:tcPr>
          <w:p w:rsidR="00BF2A28" w:rsidRDefault="00BF2A28" w:rsidP="00A84C3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BF2A28" w:rsidRDefault="00BF2A28" w:rsidP="00A84C3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CB2BBE" w:rsidRPr="002646EE" w:rsidRDefault="00BF2A28" w:rsidP="00A84C3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C80542">
              <w:rPr>
                <w:rFonts w:ascii="Times New Roman" w:hAnsi="Times New Roman" w:cs="Times New Roman"/>
                <w:sz w:val="24"/>
                <w:szCs w:val="24"/>
                <w:lang w:val="en-GB"/>
              </w:rPr>
              <w:t xml:space="preserve"> </w:t>
            </w:r>
            <w:r w:rsidR="00C80542">
              <w:rPr>
                <w:lang w:val="en-GB"/>
              </w:rPr>
              <w:t xml:space="preserve">                 </w:t>
            </w:r>
            <w:r>
              <w:rPr>
                <w:rFonts w:ascii="Times New Roman" w:hAnsi="Times New Roman" w:cs="Times New Roman"/>
                <w:sz w:val="24"/>
                <w:szCs w:val="24"/>
                <w:lang w:val="en-GB"/>
              </w:rPr>
              <w:t>19.06.2024</w:t>
            </w:r>
          </w:p>
        </w:tc>
      </w:tr>
      <w:tr w:rsidR="00CB2BBE" w:rsidRPr="002646EE" w:rsidTr="00C80542">
        <w:tc>
          <w:tcPr>
            <w:tcW w:w="2876" w:type="dxa"/>
          </w:tcPr>
          <w:p w:rsidR="00CB2BBE" w:rsidRDefault="00BF2A28" w:rsidP="00A84C3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Associate </w:t>
            </w:r>
            <w:r w:rsidR="00C80542">
              <w:rPr>
                <w:rFonts w:ascii="Times New Roman" w:hAnsi="Times New Roman" w:cs="Times New Roman"/>
                <w:sz w:val="24"/>
                <w:szCs w:val="24"/>
                <w:lang w:val="en-GB"/>
              </w:rPr>
              <w:t>P</w:t>
            </w:r>
            <w:r>
              <w:rPr>
                <w:rFonts w:ascii="Times New Roman" w:hAnsi="Times New Roman" w:cs="Times New Roman"/>
                <w:sz w:val="24"/>
                <w:szCs w:val="24"/>
                <w:lang w:val="en-GB"/>
              </w:rPr>
              <w:t xml:space="preserve">rofessor, </w:t>
            </w:r>
          </w:p>
          <w:p w:rsidR="00BF2A28" w:rsidRPr="002646EE" w:rsidRDefault="00BF2A28" w:rsidP="00A84C3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TDU Bangalore</w:t>
            </w:r>
          </w:p>
        </w:tc>
        <w:tc>
          <w:tcPr>
            <w:tcW w:w="2877" w:type="dxa"/>
          </w:tcPr>
          <w:p w:rsidR="00CB2BBE" w:rsidRPr="002646EE" w:rsidRDefault="00CB2BBE" w:rsidP="00C80542">
            <w:pPr>
              <w:rPr>
                <w:rFonts w:ascii="Times New Roman" w:hAnsi="Times New Roman" w:cs="Times New Roman"/>
                <w:sz w:val="24"/>
                <w:szCs w:val="24"/>
                <w:lang w:val="en-GB"/>
              </w:rPr>
            </w:pPr>
          </w:p>
        </w:tc>
        <w:tc>
          <w:tcPr>
            <w:tcW w:w="3461" w:type="dxa"/>
          </w:tcPr>
          <w:p w:rsidR="00CB2BBE" w:rsidRPr="002646EE" w:rsidRDefault="00CB2BBE" w:rsidP="00A84C31">
            <w:pPr>
              <w:spacing w:line="480" w:lineRule="auto"/>
              <w:rPr>
                <w:rFonts w:ascii="Times New Roman" w:hAnsi="Times New Roman" w:cs="Times New Roman"/>
                <w:sz w:val="24"/>
                <w:szCs w:val="24"/>
                <w:lang w:val="en-GB"/>
              </w:rPr>
            </w:pPr>
          </w:p>
        </w:tc>
      </w:tr>
    </w:tbl>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b/>
          <w:i/>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b/>
          <w:i/>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u w:val="single"/>
        </w:rPr>
      </w:pPr>
      <w:r w:rsidRPr="002646EE">
        <w:rPr>
          <w:rFonts w:ascii="Times New Roman" w:eastAsia="ArialMT" w:hAnsi="Times New Roman" w:cs="Times New Roman"/>
          <w:b/>
          <w:i/>
          <w:sz w:val="24"/>
          <w:szCs w:val="24"/>
        </w:rPr>
        <w:t xml:space="preserve"> </w:t>
      </w:r>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u w:val="single"/>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u w:val="single"/>
        </w:rPr>
      </w:pPr>
      <w:r w:rsidRPr="002646EE">
        <w:rPr>
          <w:rFonts w:ascii="Times New Roman" w:eastAsia="ArialMT" w:hAnsi="Times New Roman" w:cs="Times New Roman"/>
          <w:b/>
          <w:sz w:val="24"/>
          <w:szCs w:val="24"/>
          <w:u w:val="single"/>
        </w:rPr>
        <w:br w:type="page"/>
      </w:r>
    </w:p>
    <w:p w:rsidR="00B8628A" w:rsidRDefault="003C214A" w:rsidP="00B8628A">
      <w:pPr>
        <w:autoSpaceDE w:val="0"/>
        <w:autoSpaceDN w:val="0"/>
        <w:adjustRightInd w:val="0"/>
        <w:spacing w:after="0" w:line="240" w:lineRule="auto"/>
        <w:rPr>
          <w:rFonts w:ascii="Times New Roman" w:eastAsia="ArialMT" w:hAnsi="Times New Roman" w:cs="Times New Roman"/>
          <w:b/>
          <w:sz w:val="28"/>
          <w:szCs w:val="28"/>
          <w:u w:val="single"/>
        </w:rPr>
      </w:pPr>
      <w:r>
        <w:rPr>
          <w:rFonts w:ascii="Times New Roman" w:eastAsia="ArialMT" w:hAnsi="Times New Roman" w:cs="Times New Roman"/>
          <w:b/>
          <w:sz w:val="28"/>
          <w:szCs w:val="28"/>
          <w:u w:val="single"/>
        </w:rPr>
        <w:lastRenderedPageBreak/>
        <w:t>ACKNOWLEDGEMENT</w:t>
      </w:r>
    </w:p>
    <w:p w:rsidR="003C214A" w:rsidRPr="002646EE" w:rsidRDefault="003C214A" w:rsidP="00B8628A">
      <w:pPr>
        <w:autoSpaceDE w:val="0"/>
        <w:autoSpaceDN w:val="0"/>
        <w:adjustRightInd w:val="0"/>
        <w:spacing w:after="0" w:line="240" w:lineRule="auto"/>
        <w:rPr>
          <w:rFonts w:ascii="Times New Roman" w:eastAsia="ArialMT" w:hAnsi="Times New Roman" w:cs="Times New Roman"/>
          <w:b/>
          <w:sz w:val="28"/>
          <w:szCs w:val="28"/>
          <w:u w:val="single"/>
        </w:rPr>
      </w:pPr>
    </w:p>
    <w:p w:rsidR="00B8628A" w:rsidRPr="002646EE" w:rsidRDefault="00B8628A" w:rsidP="00B8628A">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3C214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r w:rsidRPr="002646EE">
        <w:rPr>
          <w:rFonts w:ascii="Times New Roman" w:eastAsia="ArialMT" w:hAnsi="Times New Roman" w:cs="Times New Roman"/>
          <w:color w:val="0D0D0D" w:themeColor="text1" w:themeTint="F2"/>
          <w:sz w:val="24"/>
          <w:szCs w:val="24"/>
        </w:rPr>
        <w:t>I would like to express my since</w:t>
      </w:r>
      <w:r w:rsidR="00037779" w:rsidRPr="002646EE">
        <w:rPr>
          <w:rFonts w:ascii="Times New Roman" w:eastAsia="ArialMT" w:hAnsi="Times New Roman" w:cs="Times New Roman"/>
          <w:color w:val="0D0D0D" w:themeColor="text1" w:themeTint="F2"/>
          <w:sz w:val="24"/>
          <w:szCs w:val="24"/>
        </w:rPr>
        <w:t xml:space="preserve">re gratitude to Dr. C.N. Vishnuprasad </w:t>
      </w:r>
      <w:r w:rsidRPr="002646EE">
        <w:rPr>
          <w:rFonts w:ascii="Times New Roman" w:eastAsia="ArialMT" w:hAnsi="Times New Roman" w:cs="Times New Roman"/>
          <w:color w:val="0D0D0D" w:themeColor="text1" w:themeTint="F2"/>
          <w:sz w:val="24"/>
          <w:szCs w:val="24"/>
        </w:rPr>
        <w:t>for his dedicated guidance and invaluable support for my project work. I would also like to thank TDU for its constant support and encouragement to undertake such thesis work, which helped me learn a lot and achieve a new perspective on this subject. I am grateful for their valued guidance during the entire duration of the project.</w:t>
      </w:r>
    </w:p>
    <w:p w:rsidR="00B8628A" w:rsidRPr="002646EE" w:rsidRDefault="00395AAA" w:rsidP="003C214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r w:rsidRPr="002646EE">
        <w:rPr>
          <w:rFonts w:ascii="Times New Roman" w:eastAsia="ArialMT" w:hAnsi="Times New Roman" w:cs="Times New Roman"/>
          <w:color w:val="0D0D0D" w:themeColor="text1" w:themeTint="F2"/>
          <w:sz w:val="24"/>
          <w:szCs w:val="24"/>
        </w:rPr>
        <w:t>I thank</w:t>
      </w:r>
      <w:r w:rsidR="00023448">
        <w:rPr>
          <w:rFonts w:ascii="Times New Roman" w:eastAsia="ArialMT" w:hAnsi="Times New Roman" w:cs="Times New Roman"/>
          <w:color w:val="0D0D0D" w:themeColor="text1" w:themeTint="F2"/>
          <w:sz w:val="24"/>
          <w:szCs w:val="24"/>
        </w:rPr>
        <w:t xml:space="preserve"> Dr. Megha, Dr Subrahmanya Kumar, Dr. Sanketh sharma,</w:t>
      </w:r>
      <w:r w:rsidR="008B41DB">
        <w:rPr>
          <w:rFonts w:ascii="Times New Roman" w:eastAsia="ArialMT" w:hAnsi="Times New Roman" w:cs="Times New Roman"/>
          <w:color w:val="0D0D0D" w:themeColor="text1" w:themeTint="F2"/>
          <w:sz w:val="24"/>
          <w:szCs w:val="24"/>
        </w:rPr>
        <w:t xml:space="preserve"> Dr.</w:t>
      </w:r>
      <w:r w:rsidR="00C80542">
        <w:rPr>
          <w:rFonts w:ascii="Times New Roman" w:eastAsia="ArialMT" w:hAnsi="Times New Roman" w:cs="Times New Roman"/>
          <w:color w:val="0D0D0D" w:themeColor="text1" w:themeTint="F2"/>
          <w:sz w:val="24"/>
          <w:szCs w:val="24"/>
        </w:rPr>
        <w:t xml:space="preserve"> </w:t>
      </w:r>
      <w:r w:rsidR="008B41DB">
        <w:rPr>
          <w:rFonts w:ascii="Times New Roman" w:eastAsia="ArialMT" w:hAnsi="Times New Roman" w:cs="Times New Roman"/>
          <w:color w:val="0D0D0D" w:themeColor="text1" w:themeTint="F2"/>
          <w:sz w:val="24"/>
          <w:szCs w:val="24"/>
        </w:rPr>
        <w:t>Arun Bhanu</w:t>
      </w:r>
      <w:r w:rsidR="00C80542">
        <w:rPr>
          <w:rFonts w:ascii="Times New Roman" w:eastAsia="ArialMT" w:hAnsi="Times New Roman" w:cs="Times New Roman"/>
          <w:color w:val="0D0D0D" w:themeColor="text1" w:themeTint="F2"/>
          <w:sz w:val="24"/>
          <w:szCs w:val="24"/>
        </w:rPr>
        <w:t xml:space="preserve">. </w:t>
      </w:r>
      <w:r w:rsidR="008B41DB">
        <w:rPr>
          <w:rFonts w:ascii="Times New Roman" w:eastAsia="ArialMT" w:hAnsi="Times New Roman" w:cs="Times New Roman"/>
          <w:color w:val="0D0D0D" w:themeColor="text1" w:themeTint="F2"/>
          <w:sz w:val="24"/>
          <w:szCs w:val="24"/>
        </w:rPr>
        <w:t xml:space="preserve">K., </w:t>
      </w:r>
      <w:r w:rsidRPr="002646EE">
        <w:rPr>
          <w:rFonts w:ascii="Times New Roman" w:eastAsia="ArialMT" w:hAnsi="Times New Roman" w:cs="Times New Roman"/>
          <w:color w:val="0D0D0D" w:themeColor="text1" w:themeTint="F2"/>
          <w:sz w:val="24"/>
          <w:szCs w:val="24"/>
        </w:rPr>
        <w:t xml:space="preserve"> </w:t>
      </w:r>
      <w:r w:rsidR="00023448">
        <w:rPr>
          <w:rFonts w:ascii="Times New Roman" w:eastAsia="ArialMT" w:hAnsi="Times New Roman" w:cs="Times New Roman"/>
          <w:color w:val="0D0D0D" w:themeColor="text1" w:themeTint="F2"/>
          <w:sz w:val="24"/>
          <w:szCs w:val="24"/>
        </w:rPr>
        <w:t>Ms.</w:t>
      </w:r>
      <w:r w:rsidR="00C80542">
        <w:rPr>
          <w:rFonts w:ascii="Times New Roman" w:eastAsia="ArialMT" w:hAnsi="Times New Roman" w:cs="Times New Roman"/>
          <w:color w:val="0D0D0D" w:themeColor="text1" w:themeTint="F2"/>
          <w:sz w:val="24"/>
          <w:szCs w:val="24"/>
        </w:rPr>
        <w:t xml:space="preserve"> </w:t>
      </w:r>
      <w:r w:rsidR="00B8628A" w:rsidRPr="002646EE">
        <w:rPr>
          <w:rFonts w:ascii="Times New Roman" w:eastAsia="ArialMT" w:hAnsi="Times New Roman" w:cs="Times New Roman"/>
          <w:color w:val="0D0D0D" w:themeColor="text1" w:themeTint="F2"/>
          <w:sz w:val="24"/>
          <w:szCs w:val="24"/>
        </w:rPr>
        <w:t xml:space="preserve">Sania </w:t>
      </w:r>
      <w:r w:rsidR="00C80542">
        <w:rPr>
          <w:rFonts w:ascii="Times New Roman" w:eastAsia="ArialMT" w:hAnsi="Times New Roman" w:cs="Times New Roman"/>
          <w:color w:val="0D0D0D" w:themeColor="text1" w:themeTint="F2"/>
          <w:sz w:val="24"/>
          <w:szCs w:val="24"/>
        </w:rPr>
        <w:t>K</w:t>
      </w:r>
      <w:r w:rsidR="00B8628A" w:rsidRPr="002646EE">
        <w:rPr>
          <w:rFonts w:ascii="Times New Roman" w:eastAsia="ArialMT" w:hAnsi="Times New Roman" w:cs="Times New Roman"/>
          <w:color w:val="0D0D0D" w:themeColor="text1" w:themeTint="F2"/>
          <w:sz w:val="24"/>
          <w:szCs w:val="24"/>
        </w:rPr>
        <w:t>o</w:t>
      </w:r>
      <w:r w:rsidRPr="002646EE">
        <w:rPr>
          <w:rFonts w:ascii="Times New Roman" w:eastAsia="ArialMT" w:hAnsi="Times New Roman" w:cs="Times New Roman"/>
          <w:color w:val="0D0D0D" w:themeColor="text1" w:themeTint="F2"/>
          <w:sz w:val="24"/>
          <w:szCs w:val="24"/>
        </w:rPr>
        <w:t xml:space="preserve">user, </w:t>
      </w:r>
      <w:r w:rsidR="00B8628A" w:rsidRPr="002646EE">
        <w:rPr>
          <w:rFonts w:ascii="Times New Roman" w:eastAsia="ArialMT" w:hAnsi="Times New Roman" w:cs="Times New Roman"/>
          <w:color w:val="0D0D0D" w:themeColor="text1" w:themeTint="F2"/>
          <w:sz w:val="24"/>
          <w:szCs w:val="24"/>
        </w:rPr>
        <w:t>Ms. Priyanka G</w:t>
      </w:r>
      <w:r w:rsidRPr="002646EE">
        <w:rPr>
          <w:rFonts w:ascii="Times New Roman" w:eastAsia="ArialMT" w:hAnsi="Times New Roman" w:cs="Times New Roman"/>
          <w:color w:val="0D0D0D" w:themeColor="text1" w:themeTint="F2"/>
          <w:sz w:val="24"/>
          <w:szCs w:val="24"/>
        </w:rPr>
        <w:t xml:space="preserve"> pinto,  Mr. </w:t>
      </w:r>
      <w:r w:rsidR="00037779" w:rsidRPr="002646EE">
        <w:rPr>
          <w:rFonts w:ascii="Times New Roman" w:eastAsia="ArialMT" w:hAnsi="Times New Roman" w:cs="Times New Roman"/>
          <w:color w:val="0D0D0D" w:themeColor="text1" w:themeTint="F2"/>
          <w:sz w:val="24"/>
          <w:szCs w:val="24"/>
        </w:rPr>
        <w:t xml:space="preserve">Abhi .V. Badiger </w:t>
      </w:r>
      <w:r w:rsidR="00B8628A" w:rsidRPr="002646EE">
        <w:rPr>
          <w:rFonts w:ascii="Times New Roman" w:eastAsia="ArialMT" w:hAnsi="Times New Roman" w:cs="Times New Roman"/>
          <w:color w:val="0D0D0D" w:themeColor="text1" w:themeTint="F2"/>
          <w:sz w:val="24"/>
          <w:szCs w:val="24"/>
        </w:rPr>
        <w:t>for helping me succeed in this work. Towards the end, I would like to thank my family, friends and</w:t>
      </w:r>
      <w:r w:rsidR="003C214A">
        <w:rPr>
          <w:rFonts w:ascii="Times New Roman" w:eastAsia="ArialMT" w:hAnsi="Times New Roman" w:cs="Times New Roman"/>
          <w:color w:val="0D0D0D" w:themeColor="text1" w:themeTint="F2"/>
          <w:sz w:val="24"/>
          <w:szCs w:val="24"/>
        </w:rPr>
        <w:t xml:space="preserve"> </w:t>
      </w:r>
      <w:r w:rsidR="00B8628A" w:rsidRPr="002646EE">
        <w:rPr>
          <w:rFonts w:ascii="Times New Roman" w:eastAsia="ArialMT" w:hAnsi="Times New Roman" w:cs="Times New Roman"/>
          <w:color w:val="0D0D0D" w:themeColor="text1" w:themeTint="F2"/>
          <w:sz w:val="24"/>
          <w:szCs w:val="24"/>
        </w:rPr>
        <w:t>loved ones for supporting me during my studies.</w:t>
      </w: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395AAA" w:rsidRPr="002646EE" w:rsidRDefault="00395AAA" w:rsidP="00395AAA">
      <w:pPr>
        <w:autoSpaceDE w:val="0"/>
        <w:autoSpaceDN w:val="0"/>
        <w:adjustRightInd w:val="0"/>
        <w:spacing w:after="0" w:line="360" w:lineRule="auto"/>
        <w:jc w:val="center"/>
        <w:rPr>
          <w:rFonts w:ascii="Times New Roman" w:eastAsia="ArialMT" w:hAnsi="Times New Roman" w:cs="Times New Roman"/>
          <w:color w:val="0D0D0D" w:themeColor="text1" w:themeTint="F2"/>
          <w:sz w:val="24"/>
          <w:szCs w:val="24"/>
        </w:rPr>
      </w:pPr>
    </w:p>
    <w:p w:rsidR="00B8628A" w:rsidRPr="002646EE" w:rsidRDefault="00B8628A" w:rsidP="00395AAA">
      <w:pPr>
        <w:autoSpaceDE w:val="0"/>
        <w:autoSpaceDN w:val="0"/>
        <w:adjustRightInd w:val="0"/>
        <w:spacing w:after="0" w:line="360" w:lineRule="auto"/>
        <w:jc w:val="center"/>
        <w:rPr>
          <w:rFonts w:ascii="Times New Roman" w:eastAsia="ArialMT" w:hAnsi="Times New Roman" w:cs="Times New Roman"/>
          <w:b/>
          <w:color w:val="0D0D0D" w:themeColor="text1" w:themeTint="F2"/>
          <w:sz w:val="24"/>
          <w:szCs w:val="24"/>
          <w:u w:val="single"/>
        </w:rPr>
      </w:pPr>
    </w:p>
    <w:p w:rsidR="00B8628A" w:rsidRPr="002646EE" w:rsidRDefault="00B8628A" w:rsidP="00395AAA">
      <w:pPr>
        <w:autoSpaceDE w:val="0"/>
        <w:autoSpaceDN w:val="0"/>
        <w:adjustRightInd w:val="0"/>
        <w:spacing w:after="0" w:line="36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Default="002646EE" w:rsidP="00CB2BBE">
      <w:pPr>
        <w:autoSpaceDE w:val="0"/>
        <w:autoSpaceDN w:val="0"/>
        <w:adjustRightInd w:val="0"/>
        <w:spacing w:after="0" w:line="240" w:lineRule="auto"/>
        <w:rPr>
          <w:rFonts w:ascii="Times New Roman" w:eastAsia="ArialMT" w:hAnsi="Times New Roman" w:cs="Times New Roman"/>
          <w:b/>
          <w:sz w:val="28"/>
          <w:szCs w:val="28"/>
        </w:rPr>
      </w:pPr>
      <w:r w:rsidRPr="002646EE">
        <w:rPr>
          <w:rFonts w:ascii="Times New Roman" w:eastAsia="ArialMT" w:hAnsi="Times New Roman" w:cs="Times New Roman"/>
          <w:b/>
          <w:sz w:val="28"/>
          <w:szCs w:val="28"/>
        </w:rPr>
        <w:t>SUMMARY</w:t>
      </w:r>
    </w:p>
    <w:p w:rsidR="00646F3F" w:rsidRDefault="00646F3F" w:rsidP="00CB2BBE">
      <w:pPr>
        <w:autoSpaceDE w:val="0"/>
        <w:autoSpaceDN w:val="0"/>
        <w:adjustRightInd w:val="0"/>
        <w:spacing w:after="0" w:line="240" w:lineRule="auto"/>
        <w:rPr>
          <w:rFonts w:ascii="Times New Roman" w:eastAsia="ArialMT" w:hAnsi="Times New Roman" w:cs="Times New Roman"/>
          <w:b/>
          <w:sz w:val="28"/>
          <w:szCs w:val="28"/>
        </w:rPr>
      </w:pPr>
    </w:p>
    <w:p w:rsidR="00023448" w:rsidRPr="00023448" w:rsidRDefault="00646F3F" w:rsidP="00023448">
      <w:pPr>
        <w:pStyle w:val="NormalWeb"/>
        <w:spacing w:line="360" w:lineRule="auto"/>
        <w:jc w:val="both"/>
      </w:pPr>
      <w:r w:rsidRPr="00023448">
        <w:rPr>
          <w:rStyle w:val="NormalWebChar"/>
        </w:rPr>
        <w:t xml:space="preserve">Data collection of phytochemicals present in both </w:t>
      </w:r>
      <w:r w:rsidRPr="00C80542">
        <w:rPr>
          <w:rStyle w:val="NormalWebChar"/>
          <w:i/>
          <w:iCs/>
        </w:rPr>
        <w:t>Nishakathakadi</w:t>
      </w:r>
      <w:r w:rsidRPr="00023448">
        <w:rPr>
          <w:rStyle w:val="NormalWebChar"/>
        </w:rPr>
        <w:t xml:space="preserve"> (NK) and </w:t>
      </w:r>
      <w:r w:rsidRPr="00C80542">
        <w:rPr>
          <w:rStyle w:val="NormalWebChar"/>
          <w:i/>
          <w:iCs/>
        </w:rPr>
        <w:t>Varanadi</w:t>
      </w:r>
      <w:r w:rsidRPr="00023448">
        <w:rPr>
          <w:rStyle w:val="NormalWebChar"/>
        </w:rPr>
        <w:t xml:space="preserve"> (VA)</w:t>
      </w:r>
      <w:r w:rsidR="00023448">
        <w:rPr>
          <w:rStyle w:val="NormalWebChar"/>
        </w:rPr>
        <w:t xml:space="preserve"> formulations and</w:t>
      </w:r>
      <w:r w:rsidRPr="00023448">
        <w:rPr>
          <w:rStyle w:val="NormalWebChar"/>
        </w:rPr>
        <w:t xml:space="preserve"> </w:t>
      </w:r>
      <w:r w:rsidR="00023448">
        <w:rPr>
          <w:rStyle w:val="NormalWebChar"/>
        </w:rPr>
        <w:t>a</w:t>
      </w:r>
      <w:r w:rsidRPr="00023448">
        <w:rPr>
          <w:rStyle w:val="NormalWebChar"/>
        </w:rPr>
        <w:t>nalyzed which phytochemicals are common between</w:t>
      </w:r>
      <w:r w:rsidR="00023448">
        <w:rPr>
          <w:rStyle w:val="NormalWebChar"/>
        </w:rPr>
        <w:t xml:space="preserve"> the two, </w:t>
      </w:r>
      <w:r w:rsidRPr="00023448">
        <w:rPr>
          <w:rStyle w:val="NormalWebChar"/>
        </w:rPr>
        <w:t>which are unique to eac</w:t>
      </w:r>
      <w:r w:rsidR="002538C8" w:rsidRPr="00023448">
        <w:rPr>
          <w:rStyle w:val="NormalWebChar"/>
          <w:rFonts w:eastAsiaTheme="minorHAnsi"/>
        </w:rPr>
        <w:t xml:space="preserve">h formulation. Additionally, </w:t>
      </w:r>
      <w:r w:rsidRPr="00023448">
        <w:rPr>
          <w:rStyle w:val="NormalWebChar"/>
        </w:rPr>
        <w:t>classified the phytochemicals in both formulations.</w:t>
      </w:r>
      <w:r w:rsidRPr="00023448">
        <w:rPr>
          <w:rFonts w:eastAsia="ArialMT"/>
          <w:b/>
        </w:rPr>
        <w:t xml:space="preserve"> </w:t>
      </w:r>
      <w:r w:rsidRPr="00023448">
        <w:rPr>
          <w:rStyle w:val="NormalWebChar"/>
        </w:rPr>
        <w:t>Previous in silico studies showed that both formulations target diabetic-associated genes linked to complications like retinopathy, neuropathy, nephropathy, myopathy, wound healing</w:t>
      </w:r>
      <w:r w:rsidR="002538C8" w:rsidRPr="00023448">
        <w:rPr>
          <w:rStyle w:val="NormalWebChar"/>
          <w:rFonts w:eastAsiaTheme="minorHAnsi"/>
        </w:rPr>
        <w:t>, and vascular issues.</w:t>
      </w:r>
      <w:r w:rsidR="00C80542">
        <w:rPr>
          <w:rStyle w:val="NormalWebChar"/>
          <w:rFonts w:eastAsiaTheme="minorHAnsi"/>
        </w:rPr>
        <w:t xml:space="preserve"> </w:t>
      </w:r>
      <w:r w:rsidR="002538C8" w:rsidRPr="00023448">
        <w:rPr>
          <w:rStyle w:val="NormalWebChar"/>
          <w:rFonts w:eastAsiaTheme="minorHAnsi"/>
        </w:rPr>
        <w:t xml:space="preserve">It was found out </w:t>
      </w:r>
      <w:r w:rsidR="00023448">
        <w:rPr>
          <w:rStyle w:val="NormalWebChar"/>
        </w:rPr>
        <w:t>that NK and VA target 13</w:t>
      </w:r>
      <w:r w:rsidRPr="00023448">
        <w:rPr>
          <w:rStyle w:val="NormalWebChar"/>
        </w:rPr>
        <w:t>ge</w:t>
      </w:r>
      <w:r w:rsidR="002538C8" w:rsidRPr="00023448">
        <w:rPr>
          <w:rStyle w:val="NormalWebChar"/>
          <w:rFonts w:eastAsiaTheme="minorHAnsi"/>
        </w:rPr>
        <w:t>nes</w:t>
      </w:r>
      <w:r w:rsidR="00023448">
        <w:rPr>
          <w:rStyle w:val="NormalWebChar"/>
          <w:rFonts w:eastAsiaTheme="minorHAnsi"/>
        </w:rPr>
        <w:t xml:space="preserve"> which are similar</w:t>
      </w:r>
      <w:r w:rsidR="002538C8" w:rsidRPr="00023448">
        <w:rPr>
          <w:rStyle w:val="NormalWebChar"/>
          <w:rFonts w:eastAsiaTheme="minorHAnsi"/>
        </w:rPr>
        <w:t xml:space="preserve">. Using this information, </w:t>
      </w:r>
      <w:r w:rsidRPr="00023448">
        <w:rPr>
          <w:rStyle w:val="NormalWebChar"/>
        </w:rPr>
        <w:t>identified and organized the common phytochemicals in both formulations.</w:t>
      </w:r>
      <w:r w:rsidR="002538C8" w:rsidRPr="00023448">
        <w:rPr>
          <w:rFonts w:eastAsia="ArialMT"/>
          <w:b/>
        </w:rPr>
        <w:t xml:space="preserve"> </w:t>
      </w:r>
      <w:r w:rsidR="002538C8" w:rsidRPr="00023448">
        <w:t>To understand the different biological effects due to the overlapped and unique genes targeted by NK and VA, gene ontolo</w:t>
      </w:r>
      <w:r w:rsidR="00023448">
        <w:t xml:space="preserve">gy and enrichment analysis  is </w:t>
      </w:r>
      <w:r w:rsidR="002538C8" w:rsidRPr="00023448">
        <w:t>performed. These analyses highlighted the biological significance of the targeted genes.</w:t>
      </w:r>
      <w:r w:rsidR="00C80542">
        <w:t xml:space="preserve"> </w:t>
      </w:r>
      <w:r w:rsidR="002538C8" w:rsidRPr="00023448">
        <w:t>The information generated from the enrichment analysis will guide future studies</w:t>
      </w:r>
      <w:r w:rsidR="00023448" w:rsidRPr="00023448">
        <w:rPr>
          <w:rFonts w:eastAsia="ArialMT"/>
          <w:b/>
        </w:rPr>
        <w:t xml:space="preserve">. </w:t>
      </w:r>
      <w:r w:rsidR="00023448" w:rsidRPr="00023448">
        <w:t xml:space="preserve">As part of the comparative analysis, lipase inhibition </w:t>
      </w:r>
      <w:r w:rsidR="00C80542">
        <w:t xml:space="preserve">and </w:t>
      </w:r>
      <w:r w:rsidR="00023448" w:rsidRPr="00023448">
        <w:t>cell via</w:t>
      </w:r>
      <w:r w:rsidR="00023448">
        <w:t xml:space="preserve">bility </w:t>
      </w:r>
      <w:r w:rsidR="00C80542">
        <w:t>(</w:t>
      </w:r>
      <w:r w:rsidR="00023448">
        <w:t>in intestinal cell lines</w:t>
      </w:r>
      <w:r w:rsidR="009B1DD2">
        <w:t>) were also studied</w:t>
      </w:r>
      <w:r w:rsidR="00023448">
        <w:t>.</w:t>
      </w:r>
    </w:p>
    <w:p w:rsidR="00646F3F" w:rsidRPr="002538C8" w:rsidRDefault="00646F3F" w:rsidP="00646F3F">
      <w:pPr>
        <w:autoSpaceDE w:val="0"/>
        <w:autoSpaceDN w:val="0"/>
        <w:adjustRightInd w:val="0"/>
        <w:spacing w:after="0" w:line="360" w:lineRule="auto"/>
        <w:jc w:val="both"/>
        <w:rPr>
          <w:rFonts w:ascii="Times New Roman" w:eastAsia="ArialMT" w:hAnsi="Times New Roman" w:cs="Times New Roman"/>
          <w:b/>
          <w:sz w:val="24"/>
          <w:szCs w:val="24"/>
        </w:rPr>
      </w:pPr>
    </w:p>
    <w:p w:rsidR="001A3F84" w:rsidRPr="00646F3F" w:rsidRDefault="001A3F84" w:rsidP="00646F3F">
      <w:pPr>
        <w:autoSpaceDE w:val="0"/>
        <w:autoSpaceDN w:val="0"/>
        <w:adjustRightInd w:val="0"/>
        <w:spacing w:after="0" w:line="360" w:lineRule="auto"/>
        <w:jc w:val="both"/>
        <w:rPr>
          <w:rFonts w:ascii="Times New Roman" w:eastAsia="ArialMT" w:hAnsi="Times New Roman" w:cs="Times New Roman"/>
          <w:b/>
          <w:sz w:val="24"/>
          <w:szCs w:val="24"/>
          <w:u w:val="single"/>
        </w:rPr>
      </w:pPr>
    </w:p>
    <w:p w:rsidR="00E05836" w:rsidRPr="00646F3F" w:rsidRDefault="00E05836" w:rsidP="00646F3F">
      <w:pPr>
        <w:autoSpaceDE w:val="0"/>
        <w:autoSpaceDN w:val="0"/>
        <w:adjustRightInd w:val="0"/>
        <w:spacing w:after="0" w:line="360" w:lineRule="auto"/>
        <w:jc w:val="both"/>
        <w:rPr>
          <w:rFonts w:ascii="Times New Roman" w:eastAsia="ArialMT" w:hAnsi="Times New Roman" w:cs="Times New Roman"/>
          <w:b/>
          <w:sz w:val="24"/>
          <w:szCs w:val="24"/>
          <w:u w:val="single"/>
        </w:rPr>
      </w:pPr>
    </w:p>
    <w:p w:rsidR="00E05836" w:rsidRPr="00646F3F" w:rsidRDefault="00E05836" w:rsidP="00646F3F">
      <w:pPr>
        <w:autoSpaceDE w:val="0"/>
        <w:autoSpaceDN w:val="0"/>
        <w:adjustRightInd w:val="0"/>
        <w:spacing w:after="0" w:line="360" w:lineRule="auto"/>
        <w:jc w:val="both"/>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B8628A" w:rsidRPr="002646EE" w:rsidRDefault="00B8628A"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Default="008B41DB" w:rsidP="00CB2BBE">
      <w:pPr>
        <w:autoSpaceDE w:val="0"/>
        <w:autoSpaceDN w:val="0"/>
        <w:adjustRightInd w:val="0"/>
        <w:spacing w:after="0" w:line="240" w:lineRule="auto"/>
        <w:rPr>
          <w:rFonts w:ascii="Times New Roman" w:eastAsia="ArialMT" w:hAnsi="Times New Roman" w:cs="Times New Roman"/>
          <w:b/>
          <w:sz w:val="28"/>
          <w:szCs w:val="28"/>
        </w:rPr>
      </w:pPr>
      <w:r w:rsidRPr="008B41DB">
        <w:rPr>
          <w:rFonts w:ascii="Times New Roman" w:eastAsia="ArialMT" w:hAnsi="Times New Roman" w:cs="Times New Roman"/>
          <w:b/>
          <w:sz w:val="28"/>
          <w:szCs w:val="28"/>
        </w:rPr>
        <w:t>P</w:t>
      </w:r>
      <w:r>
        <w:rPr>
          <w:rFonts w:ascii="Times New Roman" w:eastAsia="ArialMT" w:hAnsi="Times New Roman" w:cs="Times New Roman"/>
          <w:b/>
          <w:sz w:val="28"/>
          <w:szCs w:val="28"/>
        </w:rPr>
        <w:t>ERSONAL REFLECTION</w:t>
      </w:r>
    </w:p>
    <w:p w:rsidR="008B41DB" w:rsidRDefault="008B41DB" w:rsidP="00CB2BBE">
      <w:pPr>
        <w:autoSpaceDE w:val="0"/>
        <w:autoSpaceDN w:val="0"/>
        <w:adjustRightInd w:val="0"/>
        <w:spacing w:after="0" w:line="240" w:lineRule="auto"/>
        <w:rPr>
          <w:rFonts w:ascii="Times New Roman" w:eastAsia="ArialMT" w:hAnsi="Times New Roman" w:cs="Times New Roman"/>
          <w:b/>
          <w:sz w:val="28"/>
          <w:szCs w:val="28"/>
        </w:rPr>
      </w:pPr>
    </w:p>
    <w:p w:rsidR="008B41DB" w:rsidRPr="00BD4356" w:rsidRDefault="00A72788" w:rsidP="00A72788">
      <w:pPr>
        <w:autoSpaceDE w:val="0"/>
        <w:autoSpaceDN w:val="0"/>
        <w:adjustRightInd w:val="0"/>
        <w:spacing w:after="0" w:line="360" w:lineRule="auto"/>
        <w:jc w:val="both"/>
        <w:rPr>
          <w:rStyle w:val="NormalWebChar"/>
          <w:rFonts w:eastAsia="ArialMT"/>
        </w:rPr>
      </w:pPr>
      <w:r w:rsidRPr="00BD4356">
        <w:rPr>
          <w:rStyle w:val="NormalWebChar"/>
          <w:rFonts w:eastAsiaTheme="minorHAnsi"/>
        </w:rPr>
        <w:t>During my project, I learned the basics of cell culture, RNA isolation, gel electrophoresis, cDNA synthesis, primer design, RT-PCR, and RNA quantification using a nanodrop. I also visited the animal house at Acharya College, where I received training from a senior on feeding and maintaining rats. Additionally, I learned to use and analyze SR Plot for gene enrichment analysis and Classyfire for phytochemical classification. I observed how to perform a western blot and took notes on the protocols. I documented the pharmacological actions of different Ayurvedic drugs using classical texts and tried to understand the molecular pathways involved in diabetic complications. Throughout this experience, I also improved my time management skills.</w:t>
      </w:r>
    </w:p>
    <w:p w:rsidR="008B41DB" w:rsidRPr="00A72788" w:rsidRDefault="008B41DB" w:rsidP="00A72788">
      <w:pPr>
        <w:autoSpaceDE w:val="0"/>
        <w:autoSpaceDN w:val="0"/>
        <w:adjustRightInd w:val="0"/>
        <w:spacing w:after="0" w:line="360" w:lineRule="auto"/>
        <w:jc w:val="both"/>
        <w:rPr>
          <w:rFonts w:ascii="Times New Roman" w:eastAsia="ArialMT" w:hAnsi="Times New Roman" w:cs="Times New Roman"/>
          <w:b/>
          <w:sz w:val="24"/>
          <w:szCs w:val="24"/>
        </w:rPr>
      </w:pPr>
    </w:p>
    <w:p w:rsidR="001A3F84" w:rsidRPr="00A72788" w:rsidRDefault="001A3F84" w:rsidP="00A72788">
      <w:pPr>
        <w:autoSpaceDE w:val="0"/>
        <w:autoSpaceDN w:val="0"/>
        <w:adjustRightInd w:val="0"/>
        <w:spacing w:after="0" w:line="360" w:lineRule="auto"/>
        <w:jc w:val="both"/>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1A3F84" w:rsidRPr="002646EE" w:rsidRDefault="001A3F8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pPr>
    </w:p>
    <w:p w:rsidR="00C82344" w:rsidRPr="002646EE" w:rsidRDefault="00C82344" w:rsidP="00CB2BBE">
      <w:pPr>
        <w:autoSpaceDE w:val="0"/>
        <w:autoSpaceDN w:val="0"/>
        <w:adjustRightInd w:val="0"/>
        <w:spacing w:after="0" w:line="240" w:lineRule="auto"/>
        <w:rPr>
          <w:rFonts w:ascii="Times New Roman" w:eastAsia="ArialMT" w:hAnsi="Times New Roman" w:cs="Times New Roman"/>
          <w:b/>
          <w:sz w:val="24"/>
          <w:szCs w:val="24"/>
          <w:u w:val="single"/>
        </w:rPr>
      </w:pPr>
    </w:p>
    <w:p w:rsidR="00C82344" w:rsidRPr="008F12CE" w:rsidRDefault="00C82344" w:rsidP="00CB2BBE">
      <w:pPr>
        <w:autoSpaceDE w:val="0"/>
        <w:autoSpaceDN w:val="0"/>
        <w:adjustRightInd w:val="0"/>
        <w:spacing w:after="0" w:line="240" w:lineRule="auto"/>
        <w:rPr>
          <w:rFonts w:ascii="Times New Roman" w:eastAsia="ArialMT" w:hAnsi="Times New Roman" w:cs="Times New Roman"/>
          <w:b/>
          <w:sz w:val="24"/>
          <w:szCs w:val="24"/>
          <w:u w:val="single"/>
        </w:rPr>
      </w:pPr>
    </w:p>
    <w:sdt>
      <w:sdtPr>
        <w:rPr>
          <w:rFonts w:ascii="Times New Roman" w:eastAsiaTheme="minorHAnsi" w:hAnsi="Times New Roman" w:cs="Times New Roman"/>
          <w:color w:val="auto"/>
          <w:sz w:val="24"/>
          <w:szCs w:val="24"/>
          <w:lang w:val="en-IN"/>
        </w:rPr>
        <w:id w:val="1991824369"/>
        <w:docPartObj>
          <w:docPartGallery w:val="Table of Contents"/>
          <w:docPartUnique/>
        </w:docPartObj>
      </w:sdtPr>
      <w:sdtEndPr>
        <w:rPr>
          <w:b/>
          <w:bCs/>
          <w:noProof/>
        </w:rPr>
      </w:sdtEndPr>
      <w:sdtContent>
        <w:p w:rsidR="00C82344" w:rsidRPr="008F12CE" w:rsidRDefault="00C82344" w:rsidP="004912F4">
          <w:pPr>
            <w:pStyle w:val="TOCHeading"/>
            <w:rPr>
              <w:rFonts w:ascii="Times New Roman" w:hAnsi="Times New Roman" w:cs="Times New Roman"/>
              <w:b/>
              <w:sz w:val="26"/>
              <w:szCs w:val="26"/>
            </w:rPr>
          </w:pPr>
          <w:r w:rsidRPr="008F12CE">
            <w:rPr>
              <w:rFonts w:ascii="Times New Roman" w:hAnsi="Times New Roman" w:cs="Times New Roman"/>
              <w:b/>
              <w:sz w:val="26"/>
              <w:szCs w:val="26"/>
            </w:rPr>
            <w:t>Table of Contents</w:t>
          </w:r>
        </w:p>
        <w:p w:rsidR="003878D3" w:rsidRPr="008F12CE" w:rsidRDefault="00C82344">
          <w:pPr>
            <w:pStyle w:val="TOC1"/>
            <w:tabs>
              <w:tab w:val="right" w:leader="dot" w:pos="9016"/>
            </w:tabs>
            <w:rPr>
              <w:rFonts w:ascii="Times New Roman" w:eastAsiaTheme="minorEastAsia" w:hAnsi="Times New Roman" w:cs="Times New Roman"/>
              <w:noProof/>
              <w:sz w:val="24"/>
              <w:szCs w:val="24"/>
              <w:lang w:eastAsia="en-IN"/>
            </w:rPr>
          </w:pPr>
          <w:r w:rsidRPr="008F12CE">
            <w:rPr>
              <w:rFonts w:ascii="Times New Roman" w:hAnsi="Times New Roman" w:cs="Times New Roman"/>
              <w:sz w:val="24"/>
              <w:szCs w:val="24"/>
            </w:rPr>
            <w:fldChar w:fldCharType="begin"/>
          </w:r>
          <w:r w:rsidRPr="008F12CE">
            <w:rPr>
              <w:rFonts w:ascii="Times New Roman" w:hAnsi="Times New Roman" w:cs="Times New Roman"/>
              <w:sz w:val="24"/>
              <w:szCs w:val="24"/>
            </w:rPr>
            <w:instrText xml:space="preserve"> TOC \o "1-3" \h \z \u </w:instrText>
          </w:r>
          <w:r w:rsidRPr="008F12CE">
            <w:rPr>
              <w:rFonts w:ascii="Times New Roman" w:hAnsi="Times New Roman" w:cs="Times New Roman"/>
              <w:sz w:val="24"/>
              <w:szCs w:val="24"/>
            </w:rPr>
            <w:fldChar w:fldCharType="separate"/>
          </w:r>
          <w:hyperlink w:anchor="_Toc171420530" w:history="1">
            <w:r w:rsidR="003878D3" w:rsidRPr="008F12CE">
              <w:rPr>
                <w:rStyle w:val="Hyperlink"/>
                <w:rFonts w:ascii="Times New Roman" w:hAnsi="Times New Roman" w:cs="Times New Roman"/>
                <w:noProof/>
                <w:sz w:val="24"/>
                <w:szCs w:val="24"/>
              </w:rPr>
              <w:t>Abbreviations</w:t>
            </w:r>
            <w:r w:rsidR="003878D3" w:rsidRPr="008F12CE">
              <w:rPr>
                <w:rFonts w:ascii="Times New Roman" w:hAnsi="Times New Roman" w:cs="Times New Roman"/>
                <w:noProof/>
                <w:webHidden/>
                <w:sz w:val="24"/>
                <w:szCs w:val="24"/>
              </w:rPr>
              <w:tab/>
            </w:r>
            <w:r w:rsidR="003878D3" w:rsidRPr="008F12CE">
              <w:rPr>
                <w:rStyle w:val="Hyperlink"/>
                <w:rFonts w:ascii="Times New Roman" w:hAnsi="Times New Roman" w:cs="Times New Roman"/>
                <w:noProof/>
                <w:sz w:val="24"/>
                <w:szCs w:val="24"/>
              </w:rPr>
              <w:fldChar w:fldCharType="begin"/>
            </w:r>
            <w:r w:rsidR="003878D3" w:rsidRPr="008F12CE">
              <w:rPr>
                <w:rFonts w:ascii="Times New Roman" w:hAnsi="Times New Roman" w:cs="Times New Roman"/>
                <w:noProof/>
                <w:webHidden/>
                <w:sz w:val="24"/>
                <w:szCs w:val="24"/>
              </w:rPr>
              <w:instrText xml:space="preserve"> PAGEREF _Toc171420530 \h </w:instrText>
            </w:r>
            <w:r w:rsidR="003878D3" w:rsidRPr="008F12CE">
              <w:rPr>
                <w:rStyle w:val="Hyperlink"/>
                <w:rFonts w:ascii="Times New Roman" w:hAnsi="Times New Roman" w:cs="Times New Roman"/>
                <w:noProof/>
                <w:sz w:val="24"/>
                <w:szCs w:val="24"/>
              </w:rPr>
            </w:r>
            <w:r w:rsidR="003878D3" w:rsidRPr="008F12CE">
              <w:rPr>
                <w:rStyle w:val="Hyperlink"/>
                <w:rFonts w:ascii="Times New Roman" w:hAnsi="Times New Roman" w:cs="Times New Roman"/>
                <w:noProof/>
                <w:sz w:val="24"/>
                <w:szCs w:val="24"/>
              </w:rPr>
              <w:fldChar w:fldCharType="separate"/>
            </w:r>
            <w:r w:rsidR="003878D3" w:rsidRPr="008F12CE">
              <w:rPr>
                <w:rFonts w:ascii="Times New Roman" w:hAnsi="Times New Roman" w:cs="Times New Roman"/>
                <w:noProof/>
                <w:webHidden/>
                <w:sz w:val="24"/>
                <w:szCs w:val="24"/>
              </w:rPr>
              <w:t>1</w:t>
            </w:r>
            <w:r w:rsidR="003878D3"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31" w:history="1">
            <w:r w:rsidRPr="008F12CE">
              <w:rPr>
                <w:rStyle w:val="Hyperlink"/>
                <w:rFonts w:ascii="Times New Roman" w:hAnsi="Times New Roman" w:cs="Times New Roman"/>
                <w:noProof/>
                <w:sz w:val="24"/>
                <w:szCs w:val="24"/>
              </w:rPr>
              <w:t xml:space="preserve">Comparative analysis of mechanism of anti-diabetic action of </w:t>
            </w:r>
            <w:r w:rsidRPr="008F12CE">
              <w:rPr>
                <w:rStyle w:val="Hyperlink"/>
                <w:rFonts w:ascii="Times New Roman" w:hAnsi="Times New Roman" w:cs="Times New Roman"/>
                <w:i/>
                <w:noProof/>
                <w:sz w:val="24"/>
                <w:szCs w:val="24"/>
              </w:rPr>
              <w:t>Nishakathakadi</w:t>
            </w:r>
            <w:r w:rsidRPr="008F12CE">
              <w:rPr>
                <w:rStyle w:val="Hyperlink"/>
                <w:rFonts w:ascii="Times New Roman" w:hAnsi="Times New Roman" w:cs="Times New Roman"/>
                <w:noProof/>
                <w:sz w:val="24"/>
                <w:szCs w:val="24"/>
              </w:rPr>
              <w:t xml:space="preserve"> </w:t>
            </w:r>
            <w:r w:rsidRPr="008F12CE">
              <w:rPr>
                <w:rStyle w:val="Hyperlink"/>
                <w:rFonts w:ascii="Times New Roman" w:hAnsi="Times New Roman" w:cs="Times New Roman"/>
                <w:i/>
                <w:noProof/>
                <w:sz w:val="24"/>
                <w:szCs w:val="24"/>
              </w:rPr>
              <w:t>Kashayam</w:t>
            </w:r>
            <w:r w:rsidRPr="008F12CE">
              <w:rPr>
                <w:rStyle w:val="Hyperlink"/>
                <w:rFonts w:ascii="Times New Roman" w:hAnsi="Times New Roman" w:cs="Times New Roman"/>
                <w:noProof/>
                <w:sz w:val="24"/>
                <w:szCs w:val="24"/>
              </w:rPr>
              <w:t xml:space="preserve"> and </w:t>
            </w:r>
            <w:r w:rsidRPr="008F12CE">
              <w:rPr>
                <w:rStyle w:val="Hyperlink"/>
                <w:rFonts w:ascii="Times New Roman" w:hAnsi="Times New Roman" w:cs="Times New Roman"/>
                <w:i/>
                <w:noProof/>
                <w:sz w:val="24"/>
                <w:szCs w:val="24"/>
              </w:rPr>
              <w:t>Varanadi Kashaya</w:t>
            </w:r>
            <w:r w:rsidRPr="008F12CE">
              <w:rPr>
                <w:rStyle w:val="Hyperlink"/>
                <w:rFonts w:ascii="Times New Roman" w:hAnsi="Times New Roman" w:cs="Times New Roman"/>
                <w:noProof/>
                <w:sz w:val="24"/>
                <w:szCs w:val="24"/>
              </w:rPr>
              <w:t>m</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left" w:pos="880"/>
              <w:tab w:val="right" w:leader="dot" w:pos="9016"/>
            </w:tabs>
            <w:rPr>
              <w:rFonts w:ascii="Times New Roman" w:eastAsiaTheme="minorEastAsia" w:hAnsi="Times New Roman" w:cs="Times New Roman"/>
              <w:noProof/>
              <w:sz w:val="24"/>
              <w:szCs w:val="24"/>
              <w:lang w:eastAsia="en-IN"/>
            </w:rPr>
          </w:pPr>
          <w:hyperlink w:anchor="_Toc171420532" w:history="1">
            <w:r w:rsidRPr="008F12CE">
              <w:rPr>
                <w:rStyle w:val="Hyperlink"/>
                <w:rFonts w:ascii="Times New Roman" w:hAnsi="Times New Roman" w:cs="Times New Roman"/>
                <w:noProof/>
                <w:sz w:val="24"/>
                <w:szCs w:val="24"/>
              </w:rPr>
              <w:t>1.1</w:t>
            </w:r>
            <w:r w:rsidRPr="008F12CE">
              <w:rPr>
                <w:rFonts w:ascii="Times New Roman" w:eastAsiaTheme="minorEastAsia" w:hAnsi="Times New Roman" w:cs="Times New Roman"/>
                <w:noProof/>
                <w:sz w:val="24"/>
                <w:szCs w:val="24"/>
                <w:lang w:eastAsia="en-IN"/>
              </w:rPr>
              <w:tab/>
            </w:r>
            <w:r w:rsidRPr="008F12CE">
              <w:rPr>
                <w:rStyle w:val="Hyperlink"/>
                <w:rFonts w:ascii="Times New Roman" w:hAnsi="Times New Roman" w:cs="Times New Roman"/>
                <w:noProof/>
                <w:sz w:val="24"/>
                <w:szCs w:val="24"/>
              </w:rPr>
              <w:t>Type 2 Diabetes mellitus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33" w:history="1">
            <w:r w:rsidRPr="008F12CE">
              <w:rPr>
                <w:rStyle w:val="Hyperlink"/>
                <w:rFonts w:ascii="Times New Roman" w:hAnsi="Times New Roman" w:cs="Times New Roman"/>
                <w:noProof/>
                <w:sz w:val="24"/>
                <w:szCs w:val="24"/>
              </w:rPr>
              <w:t xml:space="preserve">1.2 </w:t>
            </w:r>
            <w:r w:rsidRPr="008F12CE">
              <w:rPr>
                <w:rStyle w:val="Hyperlink"/>
                <w:rFonts w:ascii="Times New Roman" w:hAnsi="Times New Roman" w:cs="Times New Roman"/>
                <w:i/>
                <w:noProof/>
                <w:sz w:val="24"/>
                <w:szCs w:val="24"/>
              </w:rPr>
              <w:t>Prameha</w:t>
            </w:r>
            <w:r w:rsidRPr="008F12CE">
              <w:rPr>
                <w:rStyle w:val="Hyperlink"/>
                <w:rFonts w:ascii="Times New Roman" w:hAnsi="Times New Roman" w:cs="Times New Roman"/>
                <w:noProof/>
                <w:sz w:val="24"/>
                <w:szCs w:val="24"/>
              </w:rPr>
              <w:t xml:space="preserve"> (Ayurveda reference for diabetes mellitus)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34" w:history="1">
            <w:r w:rsidRPr="008F12CE">
              <w:rPr>
                <w:rStyle w:val="Hyperlink"/>
                <w:rFonts w:ascii="Times New Roman" w:hAnsi="Times New Roman" w:cs="Times New Roman"/>
                <w:noProof/>
                <w:sz w:val="24"/>
                <w:szCs w:val="24"/>
              </w:rPr>
              <w:t xml:space="preserve">Etiology of </w:t>
            </w:r>
            <w:r w:rsidRPr="008F12CE">
              <w:rPr>
                <w:rStyle w:val="Hyperlink"/>
                <w:rFonts w:ascii="Times New Roman" w:hAnsi="Times New Roman" w:cs="Times New Roman"/>
                <w:i/>
                <w:iCs/>
                <w:noProof/>
                <w:sz w:val="24"/>
                <w:szCs w:val="24"/>
              </w:rPr>
              <w:t>prameha: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_Toc171420534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35" w:history="1">
            <w:r w:rsidRPr="008F12CE">
              <w:rPr>
                <w:rStyle w:val="Hyperlink"/>
                <w:rFonts w:ascii="Times New Roman" w:hAnsi="Times New Roman" w:cs="Times New Roman"/>
                <w:i/>
                <w:noProof/>
                <w:sz w:val="24"/>
                <w:szCs w:val="24"/>
              </w:rPr>
              <w:t>Doshaja</w:t>
            </w:r>
            <w:r w:rsidRPr="008F12CE">
              <w:rPr>
                <w:rStyle w:val="Hyperlink"/>
                <w:rFonts w:ascii="Times New Roman" w:hAnsi="Times New Roman" w:cs="Times New Roman"/>
                <w:noProof/>
                <w:sz w:val="24"/>
                <w:szCs w:val="24"/>
              </w:rPr>
              <w:t xml:space="preserve"> classification of </w:t>
            </w:r>
            <w:r w:rsidRPr="008F12CE">
              <w:rPr>
                <w:rStyle w:val="Hyperlink"/>
                <w:rFonts w:ascii="Times New Roman" w:hAnsi="Times New Roman" w:cs="Times New Roman"/>
                <w:i/>
                <w:noProof/>
                <w:sz w:val="24"/>
                <w:szCs w:val="24"/>
              </w:rPr>
              <w:t>prameha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_Toc171420535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36" w:history="1">
            <w:r w:rsidRPr="008F12CE">
              <w:rPr>
                <w:rStyle w:val="Hyperlink"/>
                <w:rFonts w:ascii="Times New Roman" w:hAnsi="Times New Roman" w:cs="Times New Roman"/>
                <w:noProof/>
                <w:sz w:val="24"/>
                <w:szCs w:val="24"/>
              </w:rPr>
              <w:t>1.3 Role of Fatty acids in T2DM development</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_Toc171420536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37" w:history="1">
            <w:r w:rsidRPr="008F12CE">
              <w:rPr>
                <w:rStyle w:val="Hyperlink"/>
                <w:rFonts w:ascii="Times New Roman" w:hAnsi="Times New Roman" w:cs="Times New Roman"/>
                <w:noProof/>
                <w:sz w:val="24"/>
                <w:szCs w:val="24"/>
              </w:rPr>
              <w:t>1.4 Palmitate-Induced Lipotoxicity  and Intestinal Dysfunction</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_Toc171420537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5</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38" w:history="1">
            <w:r w:rsidRPr="008F12CE">
              <w:rPr>
                <w:rStyle w:val="Hyperlink"/>
                <w:rFonts w:ascii="Times New Roman" w:eastAsia="Times New Roman" w:hAnsi="Times New Roman" w:cs="Times New Roman"/>
                <w:noProof/>
                <w:sz w:val="24"/>
                <w:szCs w:val="24"/>
              </w:rPr>
              <w:t xml:space="preserve">1.5 </w:t>
            </w:r>
            <w:r w:rsidRPr="008F12CE">
              <w:rPr>
                <w:rStyle w:val="Hyperlink"/>
                <w:rFonts w:ascii="Times New Roman" w:hAnsi="Times New Roman" w:cs="Times New Roman"/>
                <w:noProof/>
                <w:sz w:val="24"/>
                <w:szCs w:val="24"/>
              </w:rPr>
              <w:t>The significance of polyherbal formulations in managing  T2DM</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_Toc171420538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39" w:history="1">
            <w:r w:rsidRPr="008F12CE">
              <w:rPr>
                <w:rStyle w:val="Hyperlink"/>
                <w:rFonts w:ascii="Times New Roman" w:hAnsi="Times New Roman" w:cs="Times New Roman"/>
                <w:noProof/>
                <w:sz w:val="24"/>
                <w:szCs w:val="24"/>
              </w:rPr>
              <w:t>1.6 Nishakathakadi kashaya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_Toc171420539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0" w:history="1">
            <w:r w:rsidRPr="008F12CE">
              <w:rPr>
                <w:rStyle w:val="Hyperlink"/>
                <w:rFonts w:ascii="Times New Roman" w:hAnsi="Times New Roman" w:cs="Times New Roman"/>
                <w:noProof/>
                <w:sz w:val="24"/>
                <w:szCs w:val="24"/>
              </w:rPr>
              <w:t>Ayurvedic pharmacological action and anti-diabetic action of each ingredient of 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_Toc171420540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1" w:history="1">
            <w:r w:rsidRPr="008F12CE">
              <w:rPr>
                <w:rStyle w:val="Hyperlink"/>
                <w:rFonts w:ascii="Times New Roman" w:hAnsi="Times New Roman" w:cs="Times New Roman"/>
                <w:noProof/>
                <w:sz w:val="24"/>
                <w:szCs w:val="24"/>
              </w:rPr>
              <w:t xml:space="preserve">1.7 </w:t>
            </w:r>
            <w:r w:rsidRPr="008F12CE">
              <w:rPr>
                <w:rStyle w:val="Hyperlink"/>
                <w:rFonts w:ascii="Times New Roman" w:hAnsi="Times New Roman" w:cs="Times New Roman"/>
                <w:i/>
                <w:noProof/>
                <w:sz w:val="24"/>
                <w:szCs w:val="24"/>
              </w:rPr>
              <w:t>Varanadi</w:t>
            </w:r>
            <w:r w:rsidRPr="008F12CE">
              <w:rPr>
                <w:rStyle w:val="Hyperlink"/>
                <w:rFonts w:ascii="Times New Roman" w:hAnsi="Times New Roman" w:cs="Times New Roman"/>
                <w:noProof/>
                <w:sz w:val="24"/>
                <w:szCs w:val="24"/>
              </w:rPr>
              <w:t xml:space="preserve"> formulation</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12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2" w:history="1">
            <w:r w:rsidRPr="008F12CE">
              <w:rPr>
                <w:rStyle w:val="Hyperlink"/>
                <w:rFonts w:ascii="Times New Roman" w:hAnsi="Times New Roman" w:cs="Times New Roman"/>
                <w:noProof/>
                <w:sz w:val="24"/>
                <w:szCs w:val="24"/>
              </w:rPr>
              <w:t>Anti-diabetic activity of each ingredient of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14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43" w:history="1">
            <w:r w:rsidRPr="008F12CE">
              <w:rPr>
                <w:rStyle w:val="Hyperlink"/>
                <w:rFonts w:ascii="Times New Roman" w:hAnsi="Times New Roman" w:cs="Times New Roman"/>
                <w:noProof/>
                <w:sz w:val="24"/>
                <w:szCs w:val="24"/>
              </w:rPr>
              <w:t>2.Material and methods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18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4" w:history="1">
            <w:r w:rsidRPr="008F12CE">
              <w:rPr>
                <w:rStyle w:val="Hyperlink"/>
                <w:rFonts w:ascii="Times New Roman" w:hAnsi="Times New Roman" w:cs="Times New Roman"/>
                <w:noProof/>
                <w:sz w:val="24"/>
                <w:szCs w:val="24"/>
              </w:rPr>
              <w:t>2.1 Classification of phytochemicals of NK and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_Toc171420544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18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5" w:history="1">
            <w:r w:rsidRPr="008F12CE">
              <w:rPr>
                <w:rStyle w:val="Hyperlink"/>
                <w:rFonts w:ascii="Times New Roman" w:hAnsi="Times New Roman" w:cs="Times New Roman"/>
                <w:noProof/>
                <w:sz w:val="24"/>
                <w:szCs w:val="24"/>
              </w:rPr>
              <w:t>2.2 Data collection of bioactives of NK and VA targeting Diabetic associated gene</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_Toc171420545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19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6" w:history="1">
            <w:r w:rsidRPr="008F12CE">
              <w:rPr>
                <w:rStyle w:val="Hyperlink"/>
                <w:rFonts w:ascii="Times New Roman" w:hAnsi="Times New Roman" w:cs="Times New Roman"/>
                <w:noProof/>
                <w:sz w:val="24"/>
                <w:szCs w:val="24"/>
              </w:rPr>
              <w:t>2.3 Data collection of Ayurvedic pharmacological action of NK and VA formulations as per three Ayurvedic classics.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_Toc171420546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19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7" w:history="1">
            <w:r w:rsidRPr="008F12CE">
              <w:rPr>
                <w:rStyle w:val="Hyperlink"/>
                <w:rFonts w:ascii="Times New Roman" w:hAnsi="Times New Roman" w:cs="Times New Roman"/>
                <w:noProof/>
                <w:sz w:val="24"/>
                <w:szCs w:val="24"/>
              </w:rPr>
              <w:t>2.4 Gene ontology and enrichment analysis of diabetic-associated genes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_Toc171420547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19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8" w:history="1">
            <w:r w:rsidRPr="008F12CE">
              <w:rPr>
                <w:rStyle w:val="Hyperlink"/>
                <w:rFonts w:ascii="Times New Roman" w:hAnsi="Times New Roman" w:cs="Times New Roman"/>
                <w:noProof/>
                <w:sz w:val="24"/>
                <w:szCs w:val="24"/>
              </w:rPr>
              <w:t xml:space="preserve">2.5 Gallic acid estimation of NK and VA </w:t>
            </w:r>
            <w:r w:rsidRPr="008F12CE">
              <w:rPr>
                <w:rStyle w:val="Hyperlink"/>
                <w:rFonts w:ascii="Times New Roman" w:hAnsi="Times New Roman" w:cs="Times New Roman"/>
                <w:bCs/>
                <w:noProof/>
                <w:sz w:val="24"/>
                <w:szCs w:val="24"/>
              </w:rPr>
              <w:t> by folin ciocalteu method</w:t>
            </w:r>
            <w:r w:rsidRPr="008F12CE">
              <w:rPr>
                <w:rStyle w:val="Hyperlink"/>
                <w:rFonts w:ascii="Times New Roman" w:hAnsi="Times New Roman" w:cs="Times New Roman"/>
                <w:noProof/>
                <w:sz w:val="24"/>
                <w:szCs w:val="24"/>
              </w:rPr>
              <w:t>.</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_Toc171420548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20</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49" w:history="1">
            <w:r w:rsidRPr="008F12CE">
              <w:rPr>
                <w:rStyle w:val="Hyperlink"/>
                <w:rFonts w:ascii="Times New Roman" w:hAnsi="Times New Roman" w:cs="Times New Roman"/>
                <w:noProof/>
                <w:sz w:val="24"/>
                <w:szCs w:val="24"/>
              </w:rPr>
              <w:t>2.6 Lipase assay</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_Toc171420549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21</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50" w:history="1">
            <w:r w:rsidRPr="008F12CE">
              <w:rPr>
                <w:rStyle w:val="Hyperlink"/>
                <w:rFonts w:ascii="Times New Roman" w:hAnsi="Times New Roman" w:cs="Times New Roman"/>
                <w:noProof/>
                <w:sz w:val="24"/>
                <w:szCs w:val="24"/>
              </w:rPr>
              <w:t>2.7 Cell culture</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_Toc171420550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51" w:history="1">
            <w:r w:rsidRPr="008F12CE">
              <w:rPr>
                <w:rStyle w:val="Hyperlink"/>
                <w:rFonts w:ascii="Times New Roman" w:hAnsi="Times New Roman" w:cs="Times New Roman"/>
                <w:noProof/>
                <w:sz w:val="24"/>
                <w:szCs w:val="24"/>
              </w:rPr>
              <w:t>2.8 MTT assay</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52" w:history="1">
            <w:r w:rsidRPr="008F12CE">
              <w:rPr>
                <w:rStyle w:val="Hyperlink"/>
                <w:rFonts w:ascii="Times New Roman" w:hAnsi="Times New Roman" w:cs="Times New Roman"/>
                <w:noProof/>
                <w:sz w:val="24"/>
                <w:szCs w:val="24"/>
              </w:rPr>
              <w:t>STC-1 cell viability on NK and VA  treatment.</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53" w:history="1">
            <w:r w:rsidRPr="008F12CE">
              <w:rPr>
                <w:rStyle w:val="Hyperlink"/>
                <w:rFonts w:ascii="Times New Roman" w:hAnsi="Times New Roman" w:cs="Times New Roman"/>
                <w:noProof/>
                <w:sz w:val="24"/>
                <w:szCs w:val="24"/>
              </w:rPr>
              <w:t>Preparation of 5mM PA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54" w:history="1">
            <w:r w:rsidRPr="008F12CE">
              <w:rPr>
                <w:rStyle w:val="Hyperlink"/>
                <w:rFonts w:ascii="Times New Roman" w:hAnsi="Times New Roman" w:cs="Times New Roman"/>
                <w:noProof/>
                <w:sz w:val="24"/>
                <w:szCs w:val="24"/>
              </w:rPr>
              <w:t>Caco-2 cell viability on co-treatment of PA &amp;NK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_Toc171420554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55" w:history="1">
            <w:r w:rsidRPr="008F12CE">
              <w:rPr>
                <w:rStyle w:val="Hyperlink"/>
                <w:rFonts w:ascii="Times New Roman" w:hAnsi="Times New Roman" w:cs="Times New Roman"/>
                <w:noProof/>
                <w:sz w:val="24"/>
                <w:szCs w:val="24"/>
              </w:rPr>
              <w:t>Caco-2 cell viability on co-treatment of PA &amp;VA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_Toc171420555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56" w:history="1">
            <w:r w:rsidRPr="008F12CE">
              <w:rPr>
                <w:rStyle w:val="Hyperlink"/>
                <w:rFonts w:ascii="Times New Roman" w:hAnsi="Times New Roman" w:cs="Times New Roman"/>
                <w:noProof/>
                <w:sz w:val="24"/>
                <w:szCs w:val="24"/>
              </w:rPr>
              <w:t>2.9 DPP4 Estimation from CaCo2 Cell Line</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_Toc171420556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26</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58" w:history="1">
            <w:r w:rsidRPr="008F12CE">
              <w:rPr>
                <w:rStyle w:val="Hyperlink"/>
                <w:rFonts w:ascii="Times New Roman" w:hAnsi="Times New Roman" w:cs="Times New Roman"/>
                <w:noProof/>
                <w:sz w:val="24"/>
                <w:szCs w:val="24"/>
              </w:rPr>
              <w:t>3.Results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_Toc171420558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27</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59" w:history="1">
            <w:r w:rsidRPr="008F12CE">
              <w:rPr>
                <w:rStyle w:val="Hyperlink"/>
                <w:rFonts w:ascii="Times New Roman" w:hAnsi="Times New Roman" w:cs="Times New Roman"/>
                <w:noProof/>
                <w:sz w:val="24"/>
                <w:szCs w:val="24"/>
              </w:rPr>
              <w:t>3.1 Classification of phytochemicals of NK and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_Toc171420559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27</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0" w:history="1">
            <w:r w:rsidRPr="008F12CE">
              <w:rPr>
                <w:rStyle w:val="Hyperlink"/>
                <w:rFonts w:ascii="Times New Roman" w:hAnsi="Times New Roman" w:cs="Times New Roman"/>
                <w:noProof/>
                <w:sz w:val="24"/>
                <w:szCs w:val="24"/>
              </w:rPr>
              <w:t>Classification of phytochemicals of 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_Toc171420560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27</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1" w:history="1">
            <w:r w:rsidRPr="008F12CE">
              <w:rPr>
                <w:rStyle w:val="Hyperlink"/>
                <w:rFonts w:ascii="Times New Roman" w:hAnsi="Times New Roman" w:cs="Times New Roman"/>
                <w:noProof/>
                <w:sz w:val="24"/>
                <w:szCs w:val="24"/>
              </w:rPr>
              <w:t>Classification of Phytochemicals of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35</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62" w:history="1">
            <w:r w:rsidRPr="008F12CE">
              <w:rPr>
                <w:rStyle w:val="Hyperlink"/>
                <w:rFonts w:ascii="Times New Roman" w:hAnsi="Times New Roman" w:cs="Times New Roman"/>
                <w:noProof/>
                <w:sz w:val="24"/>
                <w:szCs w:val="24"/>
              </w:rPr>
              <w:t>3.2 Phytochemicals of NK and VA targeting diabetic associated genes.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3" w:history="1">
            <w:r w:rsidRPr="008F12CE">
              <w:rPr>
                <w:rStyle w:val="Hyperlink"/>
                <w:rFonts w:ascii="Times New Roman" w:hAnsi="Times New Roman" w:cs="Times New Roman"/>
                <w:noProof/>
                <w:sz w:val="24"/>
                <w:szCs w:val="24"/>
                <w:lang w:eastAsia="en-IN"/>
              </w:rPr>
              <w:t>Venn diagram analysis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4" w:history="1">
            <w:r w:rsidRPr="008F12CE">
              <w:rPr>
                <w:rStyle w:val="Hyperlink"/>
                <w:rFonts w:ascii="Times New Roman" w:hAnsi="Times New Roman" w:cs="Times New Roman"/>
                <w:noProof/>
                <w:sz w:val="24"/>
                <w:szCs w:val="24"/>
                <w:lang w:val="en-US"/>
              </w:rPr>
              <w:t>P</w:t>
            </w:r>
            <w:r w:rsidRPr="008F12CE">
              <w:rPr>
                <w:rStyle w:val="Hyperlink"/>
                <w:rFonts w:ascii="Times New Roman" w:hAnsi="Times New Roman" w:cs="Times New Roman"/>
                <w:noProof/>
                <w:sz w:val="24"/>
                <w:szCs w:val="24"/>
              </w:rPr>
              <w:t>hytochemicals of NK and VA targeting 13 common diabetic associated genes.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_Toc171420564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5" w:history="1">
            <w:r w:rsidRPr="008F12CE">
              <w:rPr>
                <w:rStyle w:val="Hyperlink"/>
                <w:rFonts w:ascii="Times New Roman" w:hAnsi="Times New Roman" w:cs="Times New Roman"/>
                <w:noProof/>
                <w:sz w:val="24"/>
                <w:szCs w:val="24"/>
                <w:lang w:val="en-US"/>
              </w:rPr>
              <w:t>P</w:t>
            </w:r>
            <w:r w:rsidRPr="008F12CE">
              <w:rPr>
                <w:rStyle w:val="Hyperlink"/>
                <w:rFonts w:ascii="Times New Roman" w:hAnsi="Times New Roman" w:cs="Times New Roman"/>
                <w:noProof/>
                <w:sz w:val="24"/>
                <w:szCs w:val="24"/>
              </w:rPr>
              <w:t>hytochemicals of NK targeting 10 diabetic associated genes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_Toc171420565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46</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6" w:history="1">
            <w:r w:rsidRPr="008F12CE">
              <w:rPr>
                <w:rStyle w:val="Hyperlink"/>
                <w:rFonts w:ascii="Times New Roman" w:hAnsi="Times New Roman" w:cs="Times New Roman"/>
                <w:noProof/>
                <w:sz w:val="24"/>
                <w:szCs w:val="24"/>
                <w:lang w:val="en-US"/>
              </w:rPr>
              <w:t>P</w:t>
            </w:r>
            <w:r w:rsidRPr="008F12CE">
              <w:rPr>
                <w:rStyle w:val="Hyperlink"/>
                <w:rFonts w:ascii="Times New Roman" w:hAnsi="Times New Roman" w:cs="Times New Roman"/>
                <w:noProof/>
                <w:sz w:val="24"/>
                <w:szCs w:val="24"/>
              </w:rPr>
              <w:t>hytochemicals of VA targeting 3 diabetic associated genes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_Toc171420566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47</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67" w:history="1">
            <w:r w:rsidRPr="008F12CE">
              <w:rPr>
                <w:rStyle w:val="Hyperlink"/>
                <w:rFonts w:ascii="Times New Roman" w:hAnsi="Times New Roman" w:cs="Times New Roman"/>
                <w:noProof/>
                <w:sz w:val="24"/>
                <w:szCs w:val="24"/>
              </w:rPr>
              <w:t>3.3  Indications of Ayurvedic pharmacological action of NK and VA as per ayurveda classiscs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_Toc171420567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8" w:history="1">
            <w:r w:rsidRPr="008F12CE">
              <w:rPr>
                <w:rStyle w:val="Hyperlink"/>
                <w:rFonts w:ascii="Times New Roman" w:hAnsi="Times New Roman" w:cs="Times New Roman"/>
                <w:noProof/>
                <w:sz w:val="24"/>
                <w:szCs w:val="24"/>
              </w:rPr>
              <w:t xml:space="preserve">Indications of ayurvedic pharmacological actions of NK and VA as per </w:t>
            </w:r>
            <w:r w:rsidRPr="008F12CE">
              <w:rPr>
                <w:rStyle w:val="Hyperlink"/>
                <w:rFonts w:ascii="Times New Roman" w:hAnsi="Times New Roman" w:cs="Times New Roman"/>
                <w:i/>
                <w:noProof/>
                <w:sz w:val="24"/>
                <w:szCs w:val="24"/>
              </w:rPr>
              <w:t>Ashtangahrudayam.</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_Toc171420568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69" w:history="1">
            <w:r w:rsidRPr="008F12CE">
              <w:rPr>
                <w:rStyle w:val="Hyperlink"/>
                <w:rFonts w:ascii="Times New Roman" w:hAnsi="Times New Roman" w:cs="Times New Roman"/>
                <w:noProof/>
                <w:sz w:val="24"/>
                <w:szCs w:val="24"/>
              </w:rPr>
              <w:t>Indications of ayurvedic pharmacological actions of NK and VA as per charaka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_Toc171420569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49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0" w:history="1">
            <w:r w:rsidRPr="008F12CE">
              <w:rPr>
                <w:rStyle w:val="Hyperlink"/>
                <w:rFonts w:ascii="Times New Roman" w:hAnsi="Times New Roman" w:cs="Times New Roman"/>
                <w:noProof/>
                <w:sz w:val="24"/>
                <w:szCs w:val="24"/>
              </w:rPr>
              <w:t xml:space="preserve">Indications of ayurvedic pharmacological actions of NK and VA as per </w:t>
            </w:r>
            <w:r w:rsidRPr="008F12CE">
              <w:rPr>
                <w:rStyle w:val="Hyperlink"/>
                <w:rFonts w:ascii="Times New Roman" w:hAnsi="Times New Roman" w:cs="Times New Roman"/>
                <w:i/>
                <w:noProof/>
                <w:sz w:val="24"/>
                <w:szCs w:val="24"/>
              </w:rPr>
              <w:t>sushrutha.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_Toc171420570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51</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71" w:history="1">
            <w:r w:rsidRPr="008F12CE">
              <w:rPr>
                <w:rStyle w:val="Hyperlink"/>
                <w:rFonts w:ascii="Times New Roman" w:hAnsi="Times New Roman" w:cs="Times New Roman"/>
                <w:noProof/>
                <w:sz w:val="24"/>
                <w:szCs w:val="24"/>
              </w:rPr>
              <w:t>3.4 Gene ontology and enrichment analysis of diabetic-associated genes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61</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2" w:history="1">
            <w:r w:rsidRPr="008F12CE">
              <w:rPr>
                <w:rStyle w:val="Hyperlink"/>
                <w:rFonts w:ascii="Times New Roman" w:hAnsi="Times New Roman" w:cs="Times New Roman"/>
                <w:noProof/>
                <w:sz w:val="24"/>
                <w:szCs w:val="24"/>
              </w:rPr>
              <w:t>10 biological processes enriched by diabetic asoociated genes targeted by both 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61</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3" w:history="1">
            <w:r w:rsidRPr="008F12CE">
              <w:rPr>
                <w:rStyle w:val="Hyperlink"/>
                <w:rFonts w:ascii="Times New Roman" w:hAnsi="Times New Roman" w:cs="Times New Roman"/>
                <w:noProof/>
                <w:sz w:val="24"/>
                <w:szCs w:val="24"/>
              </w:rPr>
              <w:t>and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61</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4" w:history="1">
            <w:r w:rsidRPr="008F12CE">
              <w:rPr>
                <w:rStyle w:val="Hyperlink"/>
                <w:rFonts w:ascii="Times New Roman" w:hAnsi="Times New Roman" w:cs="Times New Roman"/>
                <w:noProof/>
                <w:sz w:val="24"/>
                <w:szCs w:val="24"/>
              </w:rPr>
              <w:t>10 Biological processes enriched by diabetic associated genes exclusively targeted by 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_Toc171420574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5" w:history="1">
            <w:r w:rsidRPr="008F12CE">
              <w:rPr>
                <w:rStyle w:val="Hyperlink"/>
                <w:rFonts w:ascii="Times New Roman" w:hAnsi="Times New Roman" w:cs="Times New Roman"/>
                <w:noProof/>
                <w:sz w:val="24"/>
                <w:szCs w:val="24"/>
              </w:rPr>
              <w:t>10 Biological processes enriched by diabetic associated genes exclusively targeted by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_Toc171420575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6" w:history="1">
            <w:r w:rsidRPr="008F12CE">
              <w:rPr>
                <w:rStyle w:val="Hyperlink"/>
                <w:rFonts w:ascii="Times New Roman" w:hAnsi="Times New Roman" w:cs="Times New Roman"/>
                <w:noProof/>
                <w:sz w:val="24"/>
                <w:szCs w:val="24"/>
              </w:rPr>
              <w:t>10 Cellular components  enriched by diabetic associated genes targeted by both  NK  and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_Toc171420576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7" w:history="1">
            <w:r w:rsidRPr="008F12CE">
              <w:rPr>
                <w:rStyle w:val="Hyperlink"/>
                <w:rFonts w:ascii="Times New Roman" w:hAnsi="Times New Roman" w:cs="Times New Roman"/>
                <w:noProof/>
                <w:sz w:val="24"/>
                <w:szCs w:val="24"/>
              </w:rPr>
              <w:t>10 Cellular components  enriched by diabetic associated genes exclusively targeted by 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_Toc171420577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65</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8" w:history="1">
            <w:r w:rsidRPr="008F12CE">
              <w:rPr>
                <w:rStyle w:val="Hyperlink"/>
                <w:rFonts w:ascii="Times New Roman" w:hAnsi="Times New Roman" w:cs="Times New Roman"/>
                <w:noProof/>
                <w:sz w:val="24"/>
                <w:szCs w:val="24"/>
              </w:rPr>
              <w:t xml:space="preserve">10 Cellular components  enriched by diabetic associated genes exclusively targeted </w:t>
            </w:r>
            <w:r w:rsidRPr="008F12CE">
              <w:rPr>
                <w:rStyle w:val="Hyperlink"/>
                <w:rFonts w:ascii="Times New Roman" w:hAnsi="Times New Roman" w:cs="Times New Roman"/>
                <w:noProof/>
                <w:sz w:val="24"/>
                <w:szCs w:val="24"/>
                <w:lang w:eastAsia="en-IN"/>
              </w:rPr>
              <w:t>by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_Toc171420578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66</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79" w:history="1">
            <w:r w:rsidRPr="008F12CE">
              <w:rPr>
                <w:rStyle w:val="Hyperlink"/>
                <w:rFonts w:ascii="Times New Roman" w:hAnsi="Times New Roman" w:cs="Times New Roman"/>
                <w:noProof/>
                <w:sz w:val="24"/>
                <w:szCs w:val="24"/>
              </w:rPr>
              <w:t>10 Molecular functions  enriched by diabetic associated genes targeted by both  NK and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_Toc171420579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67</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80" w:history="1">
            <w:r w:rsidRPr="008F12CE">
              <w:rPr>
                <w:rStyle w:val="Hyperlink"/>
                <w:rFonts w:ascii="Times New Roman" w:hAnsi="Times New Roman" w:cs="Times New Roman"/>
                <w:noProof/>
                <w:sz w:val="24"/>
                <w:szCs w:val="24"/>
              </w:rPr>
              <w:t>10 Molecular functions enriched by diabetic associated genes exclusively targeted by 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_Toc171420580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81" w:history="1">
            <w:r w:rsidRPr="008F12CE">
              <w:rPr>
                <w:rStyle w:val="Hyperlink"/>
                <w:rFonts w:ascii="Times New Roman" w:hAnsi="Times New Roman" w:cs="Times New Roman"/>
                <w:noProof/>
                <w:sz w:val="24"/>
                <w:szCs w:val="24"/>
              </w:rPr>
              <w:t>10 Molecular functions enriched by diabetic associated genes exclusively targeted by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69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82" w:history="1">
            <w:r w:rsidRPr="008F12CE">
              <w:rPr>
                <w:rStyle w:val="Hyperlink"/>
                <w:rFonts w:ascii="Times New Roman" w:hAnsi="Times New Roman" w:cs="Times New Roman"/>
                <w:b/>
                <w:noProof/>
                <w:sz w:val="24"/>
                <w:szCs w:val="24"/>
                <w:lang w:eastAsia="en-IN"/>
              </w:rPr>
              <w:t>3.5 Gallic acid estimation in NK and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70</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83" w:history="1">
            <w:r w:rsidRPr="008F12CE">
              <w:rPr>
                <w:rStyle w:val="Hyperlink"/>
                <w:rFonts w:ascii="Times New Roman" w:hAnsi="Times New Roman" w:cs="Times New Roman"/>
                <w:noProof/>
                <w:sz w:val="24"/>
                <w:szCs w:val="24"/>
              </w:rPr>
              <w:t>3.6 Lipase Inhibition by NK and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71</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84" w:history="1">
            <w:r w:rsidRPr="008F12CE">
              <w:rPr>
                <w:rStyle w:val="Hyperlink"/>
                <w:rFonts w:ascii="Times New Roman" w:hAnsi="Times New Roman" w:cs="Times New Roman"/>
                <w:noProof/>
                <w:sz w:val="24"/>
                <w:szCs w:val="24"/>
              </w:rPr>
              <w:t>3.7 MTT Assay</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_Toc171420584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85" w:history="1">
            <w:r w:rsidRPr="008F12CE">
              <w:rPr>
                <w:rStyle w:val="Hyperlink"/>
                <w:rFonts w:ascii="Times New Roman" w:hAnsi="Times New Roman" w:cs="Times New Roman"/>
                <w:noProof/>
                <w:sz w:val="24"/>
                <w:szCs w:val="24"/>
              </w:rPr>
              <w:t>STC-1 Cell viability on NK and VA  (2hrs)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_Toc171420585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72</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86" w:history="1">
            <w:r w:rsidRPr="008F12CE">
              <w:rPr>
                <w:rStyle w:val="Hyperlink"/>
                <w:rFonts w:ascii="Times New Roman" w:hAnsi="Times New Roman" w:cs="Times New Roman"/>
                <w:noProof/>
                <w:sz w:val="24"/>
                <w:szCs w:val="24"/>
              </w:rPr>
              <w:t xml:space="preserve">CaCo-2 cell viability on co-treatment of PA &amp; </w:t>
            </w:r>
            <w:r w:rsidRPr="008F12CE">
              <w:rPr>
                <w:rStyle w:val="Hyperlink"/>
                <w:rFonts w:ascii="Times New Roman" w:hAnsi="Times New Roman" w:cs="Times New Roman"/>
                <w:i/>
                <w:iCs/>
                <w:noProof/>
                <w:sz w:val="24"/>
                <w:szCs w:val="24"/>
              </w:rPr>
              <w:t>NK</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_Toc171420586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3"/>
            <w:tabs>
              <w:tab w:val="right" w:leader="dot" w:pos="9016"/>
            </w:tabs>
            <w:rPr>
              <w:rFonts w:ascii="Times New Roman" w:eastAsiaTheme="minorEastAsia" w:hAnsi="Times New Roman" w:cs="Times New Roman"/>
              <w:noProof/>
              <w:sz w:val="24"/>
              <w:szCs w:val="24"/>
              <w:lang w:eastAsia="en-IN"/>
            </w:rPr>
          </w:pPr>
          <w:hyperlink w:anchor="_Toc171420587" w:history="1">
            <w:r w:rsidRPr="008F12CE">
              <w:rPr>
                <w:rStyle w:val="Hyperlink"/>
                <w:rFonts w:ascii="Times New Roman" w:hAnsi="Times New Roman" w:cs="Times New Roman"/>
                <w:noProof/>
                <w:sz w:val="24"/>
                <w:szCs w:val="24"/>
              </w:rPr>
              <w:t>CaCo-2 cell viability on co-treatment of PA &amp; VA</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_Toc171420587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73</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88" w:history="1">
            <w:r w:rsidRPr="008F12CE">
              <w:rPr>
                <w:rStyle w:val="Hyperlink"/>
                <w:rFonts w:ascii="Times New Roman" w:hAnsi="Times New Roman" w:cs="Times New Roman"/>
                <w:noProof/>
                <w:sz w:val="24"/>
                <w:szCs w:val="24"/>
              </w:rPr>
              <w:t>3.8 DPP4 Estimation from CaCo2 Cell Line</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_Toc171420588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74</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91" w:history="1">
            <w:r w:rsidRPr="008F12CE">
              <w:rPr>
                <w:rStyle w:val="Hyperlink"/>
                <w:rFonts w:ascii="Times New Roman" w:hAnsi="Times New Roman" w:cs="Times New Roman"/>
                <w:noProof/>
                <w:sz w:val="24"/>
                <w:szCs w:val="24"/>
              </w:rPr>
              <w:t>4. Discussion</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75</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92" w:history="1">
            <w:r w:rsidRPr="008F12CE">
              <w:rPr>
                <w:rStyle w:val="Hyperlink"/>
                <w:rFonts w:ascii="Times New Roman" w:hAnsi="Times New Roman" w:cs="Times New Roman"/>
                <w:bCs/>
                <w:noProof/>
                <w:sz w:val="24"/>
                <w:szCs w:val="24"/>
              </w:rPr>
              <w:t>5. Conclusion</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79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93" w:history="1">
            <w:r w:rsidRPr="008F12CE">
              <w:rPr>
                <w:rStyle w:val="Hyperlink"/>
                <w:rFonts w:ascii="Times New Roman" w:hAnsi="Times New Roman" w:cs="Times New Roman"/>
                <w:noProof/>
                <w:sz w:val="24"/>
                <w:szCs w:val="24"/>
              </w:rPr>
              <w:t>6.References</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80</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94" w:history="1">
            <w:r w:rsidRPr="008F12CE">
              <w:rPr>
                <w:rStyle w:val="Hyperlink"/>
                <w:rFonts w:ascii="Times New Roman" w:hAnsi="Times New Roman" w:cs="Times New Roman"/>
                <w:noProof/>
                <w:sz w:val="24"/>
                <w:szCs w:val="24"/>
              </w:rPr>
              <w:t>APPENDIX</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_Toc171420594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88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95" w:history="1">
            <w:r w:rsidRPr="008F12CE">
              <w:rPr>
                <w:rStyle w:val="Hyperlink"/>
                <w:rFonts w:ascii="Times New Roman" w:hAnsi="Times New Roman" w:cs="Times New Roman"/>
                <w:noProof/>
                <w:sz w:val="24"/>
                <w:szCs w:val="24"/>
              </w:rPr>
              <w:t>PROGRESS REPORT 1</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_Toc171420595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88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596" w:history="1">
            <w:r w:rsidRPr="008F12CE">
              <w:rPr>
                <w:rStyle w:val="Hyperlink"/>
                <w:rFonts w:ascii="Times New Roman" w:eastAsia="Arial" w:hAnsi="Times New Roman" w:cs="Times New Roman"/>
                <w:noProof/>
                <w:sz w:val="24"/>
                <w:szCs w:val="24"/>
              </w:rPr>
              <w:t>PROGRESS REPORT 2</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_Toc171420596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88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97" w:history="1">
            <w:r w:rsidRPr="008F12CE">
              <w:rPr>
                <w:rStyle w:val="Hyperlink"/>
                <w:rFonts w:ascii="Times New Roman" w:hAnsi="Times New Roman" w:cs="Times New Roman"/>
                <w:noProof/>
                <w:sz w:val="24"/>
                <w:szCs w:val="24"/>
              </w:rPr>
              <w:t>Title</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_Toc171420597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88</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98" w:history="1">
            <w:r w:rsidRPr="008F12CE">
              <w:rPr>
                <w:rStyle w:val="Hyperlink"/>
                <w:rFonts w:ascii="Times New Roman" w:hAnsi="Times New Roman" w:cs="Times New Roman"/>
                <w:noProof/>
                <w:sz w:val="24"/>
                <w:szCs w:val="24"/>
              </w:rPr>
              <w:t>Objectives of the project</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_Toc171420598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89</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599" w:history="1">
            <w:r w:rsidRPr="008F12CE">
              <w:rPr>
                <w:rStyle w:val="Hyperlink"/>
                <w:rFonts w:ascii="Times New Roman" w:hAnsi="Times New Roman" w:cs="Times New Roman"/>
                <w:noProof/>
                <w:sz w:val="24"/>
                <w:szCs w:val="24"/>
              </w:rPr>
              <w:t>Skills learned</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_Toc171420599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90</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2"/>
            <w:tabs>
              <w:tab w:val="right" w:leader="dot" w:pos="9016"/>
            </w:tabs>
            <w:rPr>
              <w:rFonts w:ascii="Times New Roman" w:eastAsiaTheme="minorEastAsia" w:hAnsi="Times New Roman" w:cs="Times New Roman"/>
              <w:noProof/>
              <w:sz w:val="24"/>
              <w:szCs w:val="24"/>
              <w:lang w:eastAsia="en-IN"/>
            </w:rPr>
          </w:pPr>
          <w:hyperlink w:anchor="_Toc171420600" w:history="1">
            <w:r w:rsidRPr="008F12CE">
              <w:rPr>
                <w:rStyle w:val="Hyperlink"/>
                <w:rFonts w:ascii="Times New Roman" w:hAnsi="Times New Roman" w:cs="Times New Roman"/>
                <w:noProof/>
                <w:sz w:val="24"/>
                <w:szCs w:val="24"/>
              </w:rPr>
              <w:t>PROGRESS REPORT 3</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_Toc171420600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90</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601" w:history="1">
            <w:r w:rsidRPr="008F12CE">
              <w:rPr>
                <w:rStyle w:val="Hyperlink"/>
                <w:rFonts w:ascii="Times New Roman" w:hAnsi="Times New Roman" w:cs="Times New Roman"/>
                <w:noProof/>
                <w:sz w:val="24"/>
                <w:szCs w:val="24"/>
              </w:rPr>
              <w:t>Title</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_Toc171420601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90</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602" w:history="1">
            <w:r w:rsidRPr="008F12CE">
              <w:rPr>
                <w:rStyle w:val="Hyperlink"/>
                <w:rFonts w:ascii="Times New Roman" w:hAnsi="Times New Roman" w:cs="Times New Roman"/>
                <w:noProof/>
                <w:sz w:val="24"/>
                <w:szCs w:val="24"/>
              </w:rPr>
              <w:t>Objectives of the project</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_Toc171420602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90</w:t>
            </w:r>
            <w:r w:rsidRPr="008F12CE">
              <w:rPr>
                <w:rStyle w:val="Hyperlink"/>
                <w:rFonts w:ascii="Times New Roman" w:hAnsi="Times New Roman" w:cs="Times New Roman"/>
                <w:noProof/>
                <w:sz w:val="24"/>
                <w:szCs w:val="24"/>
              </w:rPr>
              <w:fldChar w:fldCharType="end"/>
            </w:r>
          </w:hyperlink>
        </w:p>
        <w:p w:rsidR="003878D3" w:rsidRPr="008F12CE" w:rsidRDefault="003878D3">
          <w:pPr>
            <w:pStyle w:val="TOC1"/>
            <w:tabs>
              <w:tab w:val="right" w:leader="dot" w:pos="9016"/>
            </w:tabs>
            <w:rPr>
              <w:rFonts w:ascii="Times New Roman" w:eastAsiaTheme="minorEastAsia" w:hAnsi="Times New Roman" w:cs="Times New Roman"/>
              <w:noProof/>
              <w:sz w:val="24"/>
              <w:szCs w:val="24"/>
              <w:lang w:eastAsia="en-IN"/>
            </w:rPr>
          </w:pPr>
          <w:hyperlink w:anchor="_Toc171420603" w:history="1">
            <w:r w:rsidRPr="008F12CE">
              <w:rPr>
                <w:rStyle w:val="Hyperlink"/>
                <w:rFonts w:ascii="Times New Roman" w:hAnsi="Times New Roman" w:cs="Times New Roman"/>
                <w:noProof/>
                <w:sz w:val="24"/>
                <w:szCs w:val="24"/>
              </w:rPr>
              <w:t>Skills learned</w:t>
            </w:r>
            <w:r w:rsidRPr="008F12CE">
              <w:rPr>
                <w:rFonts w:ascii="Times New Roman" w:hAnsi="Times New Roman" w:cs="Times New Roman"/>
                <w:noProof/>
                <w:webHidden/>
                <w:sz w:val="24"/>
                <w:szCs w:val="24"/>
              </w:rPr>
              <w:tab/>
            </w:r>
            <w:r w:rsidRPr="008F12CE">
              <w:rPr>
                <w:rStyle w:val="Hyperlink"/>
                <w:rFonts w:ascii="Times New Roman" w:hAnsi="Times New Roman" w:cs="Times New Roman"/>
                <w:noProof/>
                <w:sz w:val="24"/>
                <w:szCs w:val="24"/>
              </w:rPr>
              <w:fldChar w:fldCharType="begin"/>
            </w:r>
            <w:r w:rsidRPr="008F12CE">
              <w:rPr>
                <w:rFonts w:ascii="Times New Roman" w:hAnsi="Times New Roman" w:cs="Times New Roman"/>
                <w:noProof/>
                <w:webHidden/>
                <w:sz w:val="24"/>
                <w:szCs w:val="24"/>
              </w:rPr>
              <w:instrText xml:space="preserve"> PAGEREF _Toc171420603 \h </w:instrText>
            </w:r>
            <w:r w:rsidRPr="008F12CE">
              <w:rPr>
                <w:rStyle w:val="Hyperlink"/>
                <w:rFonts w:ascii="Times New Roman" w:hAnsi="Times New Roman" w:cs="Times New Roman"/>
                <w:noProof/>
                <w:sz w:val="24"/>
                <w:szCs w:val="24"/>
              </w:rPr>
            </w:r>
            <w:r w:rsidRPr="008F12CE">
              <w:rPr>
                <w:rStyle w:val="Hyperlink"/>
                <w:rFonts w:ascii="Times New Roman" w:hAnsi="Times New Roman" w:cs="Times New Roman"/>
                <w:noProof/>
                <w:sz w:val="24"/>
                <w:szCs w:val="24"/>
              </w:rPr>
              <w:fldChar w:fldCharType="separate"/>
            </w:r>
            <w:r w:rsidRPr="008F12CE">
              <w:rPr>
                <w:rFonts w:ascii="Times New Roman" w:hAnsi="Times New Roman" w:cs="Times New Roman"/>
                <w:noProof/>
                <w:webHidden/>
                <w:sz w:val="24"/>
                <w:szCs w:val="24"/>
              </w:rPr>
              <w:t>91</w:t>
            </w:r>
            <w:r w:rsidRPr="008F12CE">
              <w:rPr>
                <w:rStyle w:val="Hyperlink"/>
                <w:rFonts w:ascii="Times New Roman" w:hAnsi="Times New Roman" w:cs="Times New Roman"/>
                <w:noProof/>
                <w:sz w:val="24"/>
                <w:szCs w:val="24"/>
              </w:rPr>
              <w:fldChar w:fldCharType="end"/>
            </w:r>
          </w:hyperlink>
        </w:p>
        <w:p w:rsidR="00C82344" w:rsidRPr="008F12CE" w:rsidRDefault="00C82344" w:rsidP="00C82344">
          <w:pPr>
            <w:rPr>
              <w:rFonts w:ascii="Times New Roman" w:hAnsi="Times New Roman" w:cs="Times New Roman"/>
              <w:sz w:val="24"/>
              <w:szCs w:val="24"/>
            </w:rPr>
          </w:pPr>
          <w:r w:rsidRPr="008F12CE">
            <w:rPr>
              <w:rFonts w:ascii="Times New Roman" w:hAnsi="Times New Roman" w:cs="Times New Roman"/>
              <w:b/>
              <w:bCs/>
              <w:noProof/>
              <w:sz w:val="24"/>
              <w:szCs w:val="24"/>
            </w:rPr>
            <w:fldChar w:fldCharType="end"/>
          </w:r>
        </w:p>
      </w:sdtContent>
    </w:sdt>
    <w:p w:rsidR="00C82344" w:rsidRPr="008F12CE" w:rsidRDefault="00C82344" w:rsidP="00C82344">
      <w:pPr>
        <w:autoSpaceDE w:val="0"/>
        <w:autoSpaceDN w:val="0"/>
        <w:adjustRightInd w:val="0"/>
        <w:spacing w:after="0" w:line="240" w:lineRule="auto"/>
        <w:rPr>
          <w:rFonts w:ascii="Times New Roman" w:eastAsia="ArialMT" w:hAnsi="Times New Roman" w:cs="Times New Roman"/>
          <w:b/>
          <w:sz w:val="24"/>
          <w:szCs w:val="24"/>
          <w:u w:val="single"/>
        </w:rPr>
      </w:pPr>
    </w:p>
    <w:p w:rsidR="00D2094E" w:rsidRPr="008F12CE" w:rsidRDefault="00D2094E" w:rsidP="00C82344">
      <w:pPr>
        <w:autoSpaceDE w:val="0"/>
        <w:autoSpaceDN w:val="0"/>
        <w:adjustRightInd w:val="0"/>
        <w:spacing w:after="0" w:line="240" w:lineRule="auto"/>
        <w:rPr>
          <w:rFonts w:ascii="Times New Roman" w:eastAsia="ArialMT" w:hAnsi="Times New Roman" w:cs="Times New Roman"/>
          <w:b/>
          <w:sz w:val="24"/>
          <w:szCs w:val="24"/>
          <w:u w:val="single"/>
        </w:rPr>
      </w:pPr>
    </w:p>
    <w:p w:rsidR="00D2094E" w:rsidRPr="008F12CE" w:rsidRDefault="00D2094E" w:rsidP="00C82344">
      <w:pPr>
        <w:autoSpaceDE w:val="0"/>
        <w:autoSpaceDN w:val="0"/>
        <w:adjustRightInd w:val="0"/>
        <w:spacing w:after="0" w:line="240" w:lineRule="auto"/>
        <w:rPr>
          <w:rFonts w:ascii="Times New Roman" w:eastAsia="ArialMT" w:hAnsi="Times New Roman" w:cs="Times New Roman"/>
          <w:b/>
          <w:sz w:val="24"/>
          <w:szCs w:val="24"/>
          <w:u w:val="single"/>
        </w:rPr>
      </w:pPr>
    </w:p>
    <w:p w:rsidR="00D2094E" w:rsidRPr="008F12CE" w:rsidRDefault="00D2094E" w:rsidP="00C82344">
      <w:pPr>
        <w:autoSpaceDE w:val="0"/>
        <w:autoSpaceDN w:val="0"/>
        <w:adjustRightInd w:val="0"/>
        <w:spacing w:after="0" w:line="240" w:lineRule="auto"/>
        <w:rPr>
          <w:rFonts w:ascii="Times New Roman" w:eastAsia="ArialMT" w:hAnsi="Times New Roman" w:cs="Times New Roman"/>
          <w:b/>
          <w:sz w:val="24"/>
          <w:szCs w:val="24"/>
          <w:u w:val="single"/>
        </w:rPr>
      </w:pPr>
    </w:p>
    <w:p w:rsidR="00E05836" w:rsidRPr="002646EE" w:rsidRDefault="00E05836" w:rsidP="00CB2BBE">
      <w:pPr>
        <w:autoSpaceDE w:val="0"/>
        <w:autoSpaceDN w:val="0"/>
        <w:adjustRightInd w:val="0"/>
        <w:spacing w:after="0" w:line="240" w:lineRule="auto"/>
        <w:rPr>
          <w:rFonts w:ascii="Times New Roman" w:eastAsia="ArialMT" w:hAnsi="Times New Roman" w:cs="Times New Roman"/>
          <w:b/>
          <w:sz w:val="24"/>
          <w:szCs w:val="24"/>
          <w:u w:val="single"/>
        </w:rPr>
        <w:sectPr w:rsidR="00E05836" w:rsidRPr="002646EE" w:rsidSect="00E05836">
          <w:headerReference w:type="default" r:id="rId11"/>
          <w:pgSz w:w="11906" w:h="16838"/>
          <w:pgMar w:top="1440" w:right="1440" w:bottom="1440" w:left="1440" w:header="708" w:footer="708" w:gutter="0"/>
          <w:pgNumType w:fmt="lowerRoman" w:start="1"/>
          <w:cols w:space="708"/>
          <w:docGrid w:linePitch="360"/>
        </w:sectPr>
      </w:pPr>
    </w:p>
    <w:p w:rsidR="00CB2BBE" w:rsidRPr="002646EE" w:rsidRDefault="00CB2BBE" w:rsidP="004912F4">
      <w:pPr>
        <w:pStyle w:val="Heading1"/>
      </w:pPr>
      <w:bookmarkStart w:id="1" w:name="_Toc171420530"/>
      <w:r w:rsidRPr="002646EE">
        <w:lastRenderedPageBreak/>
        <w:t>Abbreviations</w:t>
      </w:r>
      <w:bookmarkEnd w:id="1"/>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134"/>
        <w:gridCol w:w="5487"/>
      </w:tblGrid>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T2DM</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Type 2 diabetes mellitus</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2</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PA</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Palmitic acid</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3</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FFA's</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Free Fatty acids</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4</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NK</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i/>
                <w:iCs/>
                <w:sz w:val="24"/>
                <w:szCs w:val="24"/>
              </w:rPr>
            </w:pPr>
            <w:r w:rsidRPr="002646EE">
              <w:rPr>
                <w:rFonts w:ascii="Times New Roman" w:eastAsia="ArialMT" w:hAnsi="Times New Roman" w:cs="Times New Roman"/>
                <w:i/>
                <w:iCs/>
                <w:sz w:val="24"/>
                <w:szCs w:val="24"/>
              </w:rPr>
              <w:t>Nishakathakadi</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5</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VA</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i/>
                <w:iCs/>
                <w:sz w:val="24"/>
                <w:szCs w:val="24"/>
              </w:rPr>
            </w:pPr>
            <w:r w:rsidRPr="002646EE">
              <w:rPr>
                <w:rFonts w:ascii="Times New Roman" w:eastAsia="ArialMT" w:hAnsi="Times New Roman" w:cs="Times New Roman"/>
                <w:i/>
                <w:iCs/>
                <w:sz w:val="24"/>
                <w:szCs w:val="24"/>
              </w:rPr>
              <w:t>Varanadi</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6</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STC-1</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Intestinal Secretin Tumour Cell line</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7</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CaCo2</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Human epithelial colorectal adenocarcinoma</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8</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GPCRs</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G-protein coupled receptors</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9</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IR</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Insulin resistance</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10</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ROS</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Reactive oxygen Species</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11</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MEM</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Minimal Essential Medium</w:t>
            </w:r>
          </w:p>
        </w:tc>
      </w:tr>
      <w:tr w:rsidR="00CB2BBE" w:rsidRPr="002646EE" w:rsidTr="005F02E3">
        <w:trPr>
          <w:trHeight w:val="312"/>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12</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DMEM</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Dulbecco Modified Eagle medium</w:t>
            </w:r>
          </w:p>
        </w:tc>
      </w:tr>
      <w:tr w:rsidR="00CB2BBE" w:rsidRPr="002646EE" w:rsidTr="005F02E3">
        <w:trPr>
          <w:trHeight w:val="288"/>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13</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PBS</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Phosphate Buffered Solution</w:t>
            </w:r>
          </w:p>
        </w:tc>
      </w:tr>
      <w:tr w:rsidR="00CB2BBE" w:rsidRPr="002646EE" w:rsidTr="005F02E3">
        <w:trPr>
          <w:trHeight w:val="288"/>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14</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DMSO</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Dimethyl sulfoxide</w:t>
            </w:r>
          </w:p>
        </w:tc>
      </w:tr>
      <w:tr w:rsidR="00CB2BBE" w:rsidRPr="002646EE" w:rsidTr="005F02E3">
        <w:trPr>
          <w:trHeight w:val="288"/>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15</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BSA</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Bovine serum albumin</w:t>
            </w:r>
          </w:p>
        </w:tc>
      </w:tr>
      <w:tr w:rsidR="00CB2BBE" w:rsidRPr="002646EE" w:rsidTr="005F02E3">
        <w:trPr>
          <w:trHeight w:val="288"/>
        </w:trPr>
        <w:tc>
          <w:tcPr>
            <w:tcW w:w="562"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16</w:t>
            </w:r>
          </w:p>
        </w:tc>
        <w:tc>
          <w:tcPr>
            <w:tcW w:w="1134"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LAF</w:t>
            </w:r>
          </w:p>
        </w:tc>
        <w:tc>
          <w:tcPr>
            <w:tcW w:w="5487" w:type="dxa"/>
            <w:noWrap/>
            <w:hideMark/>
          </w:tcPr>
          <w:p w:rsidR="00CB2BBE" w:rsidRPr="002646EE" w:rsidRDefault="00CB2BBE" w:rsidP="00A84C31">
            <w:pPr>
              <w:autoSpaceDE w:val="0"/>
              <w:autoSpaceDN w:val="0"/>
              <w:adjustRightInd w:val="0"/>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Laminar air flow</w:t>
            </w:r>
          </w:p>
        </w:tc>
      </w:tr>
    </w:tbl>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rPr>
      </w:pPr>
    </w:p>
    <w:p w:rsidR="001A3F84" w:rsidRPr="002646EE" w:rsidRDefault="001A3F84" w:rsidP="0089116E">
      <w:pPr>
        <w:autoSpaceDE w:val="0"/>
        <w:autoSpaceDN w:val="0"/>
        <w:adjustRightInd w:val="0"/>
        <w:spacing w:after="0" w:line="360" w:lineRule="auto"/>
        <w:jc w:val="center"/>
        <w:rPr>
          <w:rFonts w:ascii="Times New Roman" w:eastAsia="ArialMT" w:hAnsi="Times New Roman" w:cs="Times New Roman"/>
          <w:b/>
          <w:bCs/>
          <w:sz w:val="24"/>
          <w:szCs w:val="24"/>
        </w:rPr>
      </w:pPr>
    </w:p>
    <w:p w:rsidR="001A3F84" w:rsidRPr="002646EE" w:rsidRDefault="001A3F84" w:rsidP="0089116E">
      <w:pPr>
        <w:autoSpaceDE w:val="0"/>
        <w:autoSpaceDN w:val="0"/>
        <w:adjustRightInd w:val="0"/>
        <w:spacing w:after="0" w:line="360" w:lineRule="auto"/>
        <w:jc w:val="center"/>
        <w:rPr>
          <w:rFonts w:ascii="Times New Roman" w:eastAsia="ArialMT" w:hAnsi="Times New Roman" w:cs="Times New Roman"/>
          <w:b/>
          <w:bCs/>
          <w:sz w:val="24"/>
          <w:szCs w:val="24"/>
        </w:rPr>
      </w:pPr>
    </w:p>
    <w:p w:rsidR="005F02E3" w:rsidRDefault="005F02E3" w:rsidP="004912F4">
      <w:pPr>
        <w:pStyle w:val="Heading1"/>
      </w:pPr>
    </w:p>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Default="004912F4" w:rsidP="004912F4"/>
    <w:p w:rsidR="004912F4" w:rsidRPr="004912F4" w:rsidRDefault="004912F4" w:rsidP="004912F4"/>
    <w:p w:rsidR="005F02E3" w:rsidRPr="004912F4" w:rsidRDefault="005F02E3" w:rsidP="004912F4">
      <w:pPr>
        <w:pStyle w:val="Heading1"/>
      </w:pPr>
      <w:bookmarkStart w:id="2" w:name="_Toc171420531"/>
      <w:r w:rsidRPr="004912F4">
        <w:lastRenderedPageBreak/>
        <w:t xml:space="preserve">Comparative analysis of mechanism of anti-diabetic action of </w:t>
      </w:r>
      <w:r w:rsidRPr="004912F4">
        <w:rPr>
          <w:i/>
        </w:rPr>
        <w:t>Nishakathakadi</w:t>
      </w:r>
      <w:r w:rsidR="00072683">
        <w:t xml:space="preserve"> </w:t>
      </w:r>
      <w:r w:rsidR="00072683" w:rsidRPr="00072683">
        <w:rPr>
          <w:i/>
        </w:rPr>
        <w:t>Kashayam</w:t>
      </w:r>
      <w:r w:rsidRPr="004912F4">
        <w:t xml:space="preserve"> and </w:t>
      </w:r>
      <w:r w:rsidRPr="004912F4">
        <w:rPr>
          <w:i/>
        </w:rPr>
        <w:t>Varanadi Kashaya</w:t>
      </w:r>
      <w:r w:rsidR="00072683">
        <w:t>m</w:t>
      </w:r>
      <w:bookmarkEnd w:id="2"/>
    </w:p>
    <w:p w:rsidR="005F02E3" w:rsidRDefault="004912F4" w:rsidP="005F02E3">
      <w:r>
        <w:t xml:space="preserve"> </w:t>
      </w:r>
    </w:p>
    <w:p w:rsidR="00CB2BBE" w:rsidRPr="004912F4" w:rsidRDefault="005F02E3" w:rsidP="004912F4">
      <w:pPr>
        <w:numPr>
          <w:ilvl w:val="0"/>
          <w:numId w:val="40"/>
        </w:numPr>
        <w:rPr>
          <w:rFonts w:ascii="Times New Roman" w:hAnsi="Times New Roman" w:cs="Times New Roman"/>
          <w:b/>
          <w:sz w:val="28"/>
          <w:szCs w:val="28"/>
        </w:rPr>
      </w:pPr>
      <w:r w:rsidRPr="004912F4">
        <w:rPr>
          <w:rFonts w:ascii="Times New Roman" w:hAnsi="Times New Roman" w:cs="Times New Roman"/>
          <w:b/>
          <w:sz w:val="28"/>
          <w:szCs w:val="28"/>
        </w:rPr>
        <w:t>INTRODUCTION</w:t>
      </w:r>
      <w:r w:rsidR="00CB2BBE" w:rsidRPr="002646EE">
        <w:t xml:space="preserve">   </w:t>
      </w:r>
      <w:r>
        <w:t xml:space="preserve">                                    </w:t>
      </w:r>
      <w:r w:rsidR="00CB2BBE" w:rsidRPr="002646EE">
        <w:t xml:space="preserve"> </w:t>
      </w:r>
    </w:p>
    <w:p w:rsidR="00CB2BBE" w:rsidRPr="002646EE" w:rsidRDefault="00CB2BBE" w:rsidP="002D6B34">
      <w:pPr>
        <w:pStyle w:val="Heading2"/>
        <w:numPr>
          <w:ilvl w:val="1"/>
          <w:numId w:val="31"/>
        </w:numPr>
        <w:rPr>
          <w:rStyle w:val="NormalWebChar"/>
          <w:rFonts w:eastAsiaTheme="minorHAnsi"/>
          <w:b w:val="0"/>
          <w:sz w:val="26"/>
          <w:szCs w:val="26"/>
        </w:rPr>
      </w:pPr>
      <w:bookmarkStart w:id="3" w:name="_Toc171420532"/>
      <w:r w:rsidRPr="002646EE">
        <w:t>Type 2 Diabetes mellitus</w:t>
      </w:r>
      <w:bookmarkEnd w:id="3"/>
    </w:p>
    <w:p w:rsidR="00214CEF" w:rsidRPr="002646EE" w:rsidRDefault="00214CEF" w:rsidP="00214CEF">
      <w:pPr>
        <w:rPr>
          <w:rFonts w:ascii="Times New Roman" w:hAnsi="Times New Roman" w:cs="Times New Roman"/>
          <w:lang w:eastAsia="en-IN"/>
        </w:rPr>
      </w:pPr>
    </w:p>
    <w:p w:rsidR="00CB2BBE" w:rsidRPr="002646EE" w:rsidRDefault="00CB2BBE" w:rsidP="00CB2BBE">
      <w:pPr>
        <w:spacing w:after="0" w:line="360" w:lineRule="auto"/>
        <w:jc w:val="both"/>
        <w:rPr>
          <w:rStyle w:val="NormalWebChar"/>
          <w:rFonts w:eastAsia="ArialMT"/>
        </w:rPr>
      </w:pPr>
      <w:r w:rsidRPr="002646EE">
        <w:rPr>
          <w:rStyle w:val="NormalWebChar"/>
          <w:rFonts w:eastAsia="ArialMT"/>
        </w:rPr>
        <w:t xml:space="preserve">Type 2 diabetes mellitus (T2DM) is one of the most common metabolic disorders worldwide, its development is primarily caused by faulty secretion of insulin by pancreatic β-cells and the incapacity of insulin-sensitive tissues to react to insulin properly. The precise coordination of insulin synthesis, release, and action is crucial to metabolic demands. Tight regulation of the molecular mechanisms governing insulin production, secretion, and tissue response is essential. </w:t>
      </w:r>
      <w:r w:rsidR="00126702" w:rsidRPr="002646EE">
        <w:rPr>
          <w:rFonts w:ascii="Times New Roman" w:hAnsi="Times New Roman" w:cs="Times New Roman"/>
          <w:sz w:val="24"/>
          <w:szCs w:val="24"/>
        </w:rPr>
        <w:t>Disruptions in these processes can lead to metabolic dysregulation, which in turn can contribute to the development of type 2 diabetes mellitus (T2DM)</w:t>
      </w:r>
      <w:r w:rsidRPr="002646EE">
        <w:rPr>
          <w:rStyle w:val="NormalWebChar"/>
          <w:rFonts w:eastAsia="ArialMT"/>
        </w:rPr>
        <w:t xml:space="preserve">. Insulin resistance can be triggered by various molecules, including glucose, insulin, free fatty acids (FFA’s), and specific cytokines like TNF-alpha. Elevated plasma FFA levels, commonly observed in obesity, are thought to potentially contribute to insulin resistance. Yet the precise molecular pathways connecting FFA’s to insulin resistance are not fully elucidated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{"citationID":"kRVsiAVX","properties":{"formattedCitation":"(Gao et al., 2010)","plainCitation":"(Gao et al., 2010)","noteIndex":0},"citationItems":[{"id":134,"uris":["http://zotero.org/users/local/Eg2UsBJR/items/S9TYKQIW"],"itemData":{"id":134,"type":"article-journal","container-title":"Journal of Biological Chemistry","DOI":"10.1074/jbc.M110.128694","ISSN":"00219258","issue":"39","journalAbbreviation":"Journal of Biological Chemistry","language":"en","license":"https://www.elsevier.com/tdm/userlicense/1.0/","page":"29965-29973","source":"DOI.org (Crossref)","title":"The Effects of Palmitate on Hepatic Insulin Resistance Are Mediated by NADPH Oxidase 3-derived Reactive Oxygen Species through JNK and p38MAPK Pathways","volume":"285","author":[{"family":"Gao","given":"Dan"},{"family":"Nong","given":"Shanwei"},{"family":"Huang","given":"Xiuqing"},{"family":"Lu","given":"Yonggang"},{"family":"Zhao","given":"Hongye"},{"family":"Lin","given":"Yajun"},{"family":"Man","given":"Yong"},{"family":"Wang","given":"Shu"},{"family":"Yang","given":"Jiefu"},{"family":"Li","given":"Jian"}],"issued":{"date-parts":[["2010",9]]}}}],"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(Gao et al., 2010)</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Style w:val="match"/>
          <w:rFonts w:ascii="Times New Roman" w:hAnsi="Times New Roman" w:cs="Times New Roman"/>
          <w:color w:val="333333"/>
          <w:sz w:val="24"/>
          <w:szCs w:val="24"/>
          <w:bdr w:val="none" w:sz="0" w:space="0" w:color="auto" w:frame="1"/>
        </w:rPr>
        <w:t>As per the WHO, diabetes mellitus (DM) is a persistent metabolic disorder distinguished by heightened blood glucose levels, resulting in gradual harm to the heart, blood vessels, eyes, kidneys, and nerves.</w:t>
      </w:r>
      <w:r w:rsidRPr="002646EE">
        <w:rPr>
          <w:rFonts w:ascii="Times New Roman" w:hAnsi="Times New Roman" w:cs="Times New Roman"/>
          <w:color w:val="333333"/>
          <w:sz w:val="24"/>
          <w:szCs w:val="24"/>
          <w:shd w:val="clear" w:color="auto" w:fill="FFFFFF"/>
        </w:rPr>
        <w:t xml:space="preserve"> </w:t>
      </w:r>
      <w:r w:rsidRPr="002646EE">
        <w:rPr>
          <w:rStyle w:val="match"/>
          <w:rFonts w:ascii="Times New Roman" w:hAnsi="Times New Roman" w:cs="Times New Roman"/>
          <w:color w:val="333333"/>
          <w:sz w:val="24"/>
          <w:szCs w:val="24"/>
          <w:bdr w:val="none" w:sz="0" w:space="0" w:color="auto" w:frame="1"/>
        </w:rPr>
        <w:t>T2DM accounts for over 90% of diabetes cases and is characterized by insufficient insulin secretion from pancreatic beta cells, tissue insulin resistance (IR), and insufficient compensatory insulin secretion (Weyer</w:t>
      </w:r>
      <w:r w:rsidRPr="002646EE">
        <w:rPr>
          <w:rFonts w:ascii="Times New Roman" w:hAnsi="Times New Roman" w:cs="Times New Roman"/>
          <w:color w:val="333333"/>
          <w:sz w:val="24"/>
          <w:szCs w:val="24"/>
          <w:shd w:val="clear" w:color="auto" w:fill="FFFFFF"/>
        </w:rPr>
        <w:t xml:space="preserve"> et al., 1999; Stumvoll et al., 2005). </w:t>
      </w:r>
      <w:r w:rsidRPr="002646EE">
        <w:rPr>
          <w:rStyle w:val="match"/>
          <w:rFonts w:ascii="Times New Roman" w:hAnsi="Times New Roman" w:cs="Times New Roman"/>
          <w:color w:val="333333"/>
          <w:sz w:val="24"/>
          <w:szCs w:val="24"/>
          <w:bdr w:val="none" w:sz="0" w:space="0" w:color="auto" w:frame="1"/>
        </w:rPr>
        <w:t>As the disease advances, insulin secretion becomes insufficient to regulate glucose levels effectively, resulting in hyperglycemia.</w:t>
      </w:r>
      <w:r w:rsidRPr="002646EE">
        <w:rPr>
          <w:rFonts w:ascii="Times New Roman" w:hAnsi="Times New Roman" w:cs="Times New Roman"/>
          <w:color w:val="333333"/>
          <w:sz w:val="24"/>
          <w:szCs w:val="24"/>
          <w:shd w:val="clear" w:color="auto" w:fill="FFFFFF"/>
        </w:rPr>
        <w:t xml:space="preserve"> </w:t>
      </w:r>
      <w:r w:rsidRPr="002646EE">
        <w:rPr>
          <w:rStyle w:val="match"/>
          <w:rFonts w:ascii="Times New Roman" w:hAnsi="Times New Roman" w:cs="Times New Roman"/>
          <w:color w:val="333333"/>
          <w:sz w:val="24"/>
          <w:szCs w:val="24"/>
          <w:bdr w:val="none" w:sz="0" w:space="0" w:color="auto" w:frame="1"/>
        </w:rPr>
        <w:t>Individuals with T2DM are commonly identified by obesity or a higher proportion of body fat, particularly concentrated in the abdominal area.</w:t>
      </w:r>
      <w:r w:rsidRPr="002646EE">
        <w:rPr>
          <w:rStyle w:val="NormalWebChar"/>
          <w:rFonts w:eastAsia="ArialMT"/>
        </w:rPr>
        <w:t xml:space="preserve"> Adipose tissue exacerbates IR through diverse inflammatory pathways, such as heightened release of FFAs and dysregulation of adipokines.</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 xml:space="preserve"> The primary factors contributing to the widespread prevalence of T2DM are the increasing global rates of obesity, sedentary lifestyle , consumption of high-calorie diets, and population aging, collectively leading to a fourfold surge in the incidence and prevalence of T2DM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{"citationID":"9KOrp7CS","properties":{"formattedCitation":"(Chatterjee et al., 2017)","plainCitation":"(Chatterjee et al., 2017)","noteIndex":0},"citationItems":[{"id":157,"uris":["http://zotero.org/users/local/Eg2UsBJR/items/Y5TVA7TA"],"itemData":{"id":157,"type":"article-journal","container-title":"The Lancet","DOI":"10.1016/S0140-6736(17)30058-2","ISSN":"01406736","issue":"10085","journalAbbreviation":"The Lancet","language":"en","page":"2239-2251","source":"DOI.org (Crossref)","title":"Type 2 diabetes","volume":"389","author":[{"family":"Chatterjee","given":"Sudesna"},{"family":"Khunti","given":"Kamlesh"},{"family":"Davies","given":"Melanie J"}],"issued":{"date-parts":[["2017",6]]}}}],"schema":"https://github.com/citation-style-language/schema/raw/master/csl-citation.json"}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(Chatterjee et al., 2017)</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{"citationID":"3XrBSZMd","properties":{"formattedCitation":"(Zhou et al., 2016)","plainCitation":"(Zhou et al., 2016)","noteIndex":0},"citationItems":[{"id":158,"uris":["http://zotero.org/users/local/Eg2UsBJR/items/WJD9ASUU"],"itemData":{"id":158,"type":"article-journal","container-title":"The Lancet","DOI":"10.1016/S0140-6736(16)00618-8","ISSN":"01406736","issue":"10027","journalAbbreviation":"The Lancet","language":"en","page":"1513-1530","source":"DOI.org (Crossref)","title":"Worldwide trends in diabetes since 1980: a pooled analysis of 751 population-based studies with 4·4 million participants","title-short":"Worldwide trends in diabetes since 1980","volume":"387","author":[{"family":"Zhou","given":"B"},{"family":"Lu","given":"Y"},{"family":"Hajifathalian","given":"K"},{"family":"Bentham","given":"J"},{"family":"Di Cesare","given":"M"},{"family":"Danaei","given":"G"},{"family":"Bixby","given":"H"},{"family":"Cowan","given":"Mj"},{"family":"Ali","given":"Mk"},{"family":"Taddei","given":"C"},{"family":"Lo","given":"Wc"},{"family":"Reis-Santos","given":"B"},{"family":"Stevens","given":"Ga"},{"family":"Riley","given":"Lm"},{"family":"Miranda","given":"Jj"},{"family":"Bjerregaard","given":"P"},{"family":"Rivera","given":"Ja"},{"family":"Fouad","given":"Hm"},{"family":"Ma","given":"G"},{"family":"Mbanya","given":"Jc"},{"family":"McGarvey","given":"St"},{"family":"Mohan","given":"V"},{"family":"Onat","given":"A"},{"family":"Pilav","given":"A"},{"family":"Ramachandran","given":"A"},{"family":"Romdhane","given":"Hb"},{"family":"Paciorek","given":"Cj"},{"family":"Bennett","given":"Je"},{"family":"Ezzati","given":"M"},{"family":"Abdeen","given":"Za"},{"family":"Abdul Kadir","given":"K"},{"family":"Abu-Rmeileh","given":"Nm"},{"family":"Acosta-Cazares","given":"B"},{"family":"Adams","given":"R"},{"family":"Aekplakorn","given":"W"},{"family":"Aguilar-Salinas","given":"Ca"},{"family":"Agyemang","given":"C"},{"family":"Ahmadvand","given":"A"},{"family":"Al-Othman","given":"Ar"},{"family":"Alkerwi","given":"A"},{"family":"Amouyel","given":"P"},{"family":"Amuzu","given":"A"},{"family":"Andersen","given":"Lb"},{"family":"Anderssen","given":"Sa"},{"family":"Anjana","given":"Rm"},{"family":"Aounallah-Skhiri","given":"H"},{"family":"Aris","given":"T"},{"family":"Arlappa","given":"N"},{"family":"Arveiler","given":"D"},{"family":"Assah","given":"Fk"},{"family":"Avdicová","given":"M"},{"family":"Azizi","given":"F"},{"family":"Balakrishna","given":"N"},{"family":"Bandosz","given":"P"},{"family":"Barbagallo","given":"Cm"},{"family":"Barceló","given":"A"},{"family":"Batieha","given":"Am"},{"family":"Baur","given":"La"},{"family":"Romdhane","given":"Hb"},{"family":"Benet","given":"M"},{"family":"Bernabe-Ortiz","given":"A"},{"family":"Bharadwaj","given":"S"},{"family":"Bhargava","given":"Sk"},{"family":"Bi","given":"Y"},{"family":"Bjerregaard","given":"P"},{"family":"Bjertness","given":"E"},{"family":"Bjertness","given":"Mb"},{"family":"Björkelund","given":"C"},{"family":"Blokstra","given":"A"},{"family":"Bo","given":"S"},{"family":"Boehm","given":"Bo"},{"family":"Boissonnet","given":"Cp"},{"family":"Bovet","given":"P"},{"family":"Brajkovich","given":"I"},{"family":"Breckenkamp","given":"J"},{"family":"Brenner","given":"H"},{"family":"Brewster","given":"Lm"},{"family":"Brian","given":"Gr"},{"family":"Bruno","given":"G"},{"family":"Bugge","given":"A"},{"family":"Cabrera De León","given":"A"},{"family":"Can","given":"G"},{"family":"Cândido","given":"Ap"},{"family":"Capuano","given":"V"},{"family":"Carlsson","given":"Ac"},{"family":"Carvalho","given":"Mj"},{"family":"Casanueva","given":"Ff"},{"family":"Casas","given":"Jp"},{"family":"Caserta","given":"Ca"},{"family":"Castetbon","given":"K"},{"family":"Chamukuttan","given":"S"},{"family":"Chaturvedi","given":"N"},{"family":"Chen","given":"Cj"},{"family":"Chen","given":"F"},{"family":"Chen","given":"S"},{"family":"Cheng","given":"Cy"},{"family":"Chetrit","given":"A"},{"family":"Chiou","given":"St"},{"family":"Cho","given":"Y"},{"family":"Chudek","given":"J"},{"family":"Cifkova","given":"R"},{"family":"Claessens","given":"F"},{"family":"Concin","given":"H"},{"family":"Cooper","given":"C"},{"family":"Cooper","given":"R"},{"family":"Costanzo","given":"S"},{"family":"Cottel","given":"D"},{"family":"Cowell","given":"C"},{"family":"Crujeiras","given":"Ab"},{"family":"D'Arrigo","given":"G"},{"family":"Dallongeville","given":"J"},{"family":"Dankner","given":"R"},{"family":"Dauchet","given":"L"},{"family":"De Gaetano","given":"G"},{"family":"De Henauw","given":"S"},{"family":"Deepa","given":"M"},{"family":"Dehghan","given":"A"},{"family":"Deschamps","given":"V"},{"family":"Dhana","given":"K"},{"family":"Di Castelnuovo","given":"Af"},{"family":"Djalalinia","given":"S"},{"family":"Doua","given":"K"},{"family":"Drygas","given":"W"},{"family":"Du","given":"Y"},{"family":"Dzerve","given":"V"},{"family":"Egbagbe","given":"Ee"},{"family":"Eggertsen","given":"R"},{"family":"El Ati","given":"J"},{"family":"Elosua","given":"R"},{"family":"Erasmus","given":"Rt"},{"family":"Erem","given":"C"},{"family":"Ergor","given":"G"},{"family":"Eriksen","given":"L"},{"family":"Escobedo-de La Peña","given":"J"},{"family":"Fall","given":"Ch"},{"family":"Farzadfar","given":"F"},{"family":"Felix-Redondo","given":"Fj"},{"family":"Ferguson","given":"Ts"},{"family":"Fernández-Bergés","given":"D"},{"family":"Ferrari","given":"M"},{"family":"Ferreccio","given":"C"},{"family":"Feskens","given":"Ej"},{"family":"Finn","given":"Jd"},{"family":"Föger","given":"B"},{"family":"Foo","given":"Lh"},{"family":"Forslund","given":"As"},{"family":"Fouad","given":"Hm"},{"family":"Francis","given":"Dk"},{"family":"Franco Mdo","given":"C"},{"family":"Franco","given":"Oh"},{"family":"Frontera","given":"G"},{"family":"Furusawa","given":"T"},{"family":"Gaciong","given":"Z"},{"family":"Garnett","given":"Sp"},{"family":"Gaspoz","given":"Jm"},{"family":"Gasull","given":"M"},{"family":"Gates","given":"L"},{"family":"Geleijnse","given":"Jm"},{"family":"Ghasemian","given":"A"},{"family":"Ghimire","given":"A"},{"family":"Giampaoli","given":"S"},{"family":"Gianfagna","given":"F"},{"family":"Giovannelli","given":"J"},{"family":"Giwercman","given":"A"},{"family":"Gross","given":"Mg"},{"family":"González Rivas","given":"Jp"},{"family":"Gorbea","given":"Mb"},{"family":"Gottrand","given":"F"},{"family":"Grafnetter","given":"D"},{"family":"Grodzicki","given":"T"},{"family":"Grøntved","given":"A"},{"family":"Gruden","given":"G"},{"family":"Gu","given":"D"},{"family":"Guan","given":"Op"},{"family":"Guerrero","given":"R"},{"family":"Guessous","given":"I"},{"family":"Guimaraes","given":"Al"},{"family":"Gutierrez","given":"L"},{"family":"Hambleton","given":"Ir"},{"family":"Hardy","given":"R"},{"family":"Hari Kumar","given":"R"},{"family":"Hata","given":"J"},{"family":"He","given":"J"},{"family":"Heidemann","given":"C"},{"family":"Herrala","given":"S"},{"family":"Hihtaniemi","given":"It"},{"family":"Ho","given":"Sy"},{"family":"Ho","given":"Sc"},{"family":"Hofman","given":"A"},{"family":"Hormiga","given":"Cm"},{"family":"Horta","given":"Bl"},{"family":"Houti","given":"L"},{"family":"Howitt","given":"C"},{"family":"Htay","given":"Tt"},{"family":"Htet","given":"As"},{"family":"Htike","given":"Mm"},{"family":"Hu","given":"Y"},{"family":"Hussieni","given":"As"},{"family":"Huybrechts","given":"I"},{"family":"Hwalla","given":"N"},{"family":"Iacoviello","given":"L"},{"family":"Iannone","given":"Ag"},{"family":"Ibrahim","given":"Mm"},{"family":"Ikeda","given":"N"},{"family":"Ikram","given":"Ma"},{"family":"Irazola","given":"Ve"},{"family":"Islam","given":"M"},{"family":"Iwasaki","given":"M"},{"family":"Jacobs","given":"Jm"},{"family":"Jafar","given":"T"},{"family":"Jamil","given":"Km"},{"family":"Jasienska","given":"G"},{"family":"Jiang","given":"Cq"},{"family":"Jonas","given":"Jb"},{"family":"Joshi","given":"P"},{"family":"Kafatos","given":"A"},{"family":"Kalter-Leibovici","given":"O"},{"family":"Kasaeian","given":"A"},{"family":"Katz","given":"J"},{"family":"Kaur","given":"P"},{"family":"Kavousi","given":"M"},{"family":"Keinänen-Kiukaanniemi","given":"S"},{"family":"Kelishadi","given":"R"},{"family":"Kengne","given":"Ap"},{"family":"Kersting","given":"M"},{"family":"Khader","given":"Ys"},{"family":"Khalili","given":"D"},{"family":"Khang","given":"Yh"},{"family":"Kiechl","given":"S"},{"family":"Kim","given":"J"},{"family":"Kolsteren","given":"P"},{"family":"Korrovits","given":"P"},{"family":"Kratzer","given":"W"},{"family":"Kromhout","given":"D"},{"family":"Kujala","given":"Um"},{"family":"Kula","given":"K"},{"family":"Kyobutungi","given":"C"},{"family":"Laatikainen","given":"T"},{"family":"Lachat","given":"C"},{"family":"Laid","given":"Y"},{"family":"Lam","given":"Th"},{"family":"Landrove","given":"O"},{"family":"Lanska","given":"V"},{"family":"Lappas","given":"G"},{"family":"Laxmaiah","given":"A"},{"family":"Leclercq","given":"C"},{"family":"Lee","given":"J"},{"family":"Lee","given":"J"},{"family":"Lehtimäki","given":"T"},{"family":"Lekhraj","given":"R"},{"family":"León-Muñoz","given":"Lm"},{"family":"Li","given":"Y"},{"family":"Lim","given":"Wy"},{"family":"Lima-Costa","given":"Mf"},{"family":"Lin","given":"Hh"},{"family":"Lin","given":"X"},{"family":"Lissner","given":"L"},{"family":"Lorbeer","given":"R"},{"family":"Lozano","given":"Je"},{"family":"Luksiene","given":"D"},{"family":"Lundqvist","given":"A"},{"family":"Lytsy","given":"P"},{"family":"Ma","given":"G"},{"family":"Machado-Coelho","given":"Gl"},{"family":"Machi","given":"S"},{"family":"Maggi","given":"S"},{"family":"Magliano","given":"Dj"},{"family":"Makdisse","given":"M"},{"family":"Mallikharjuna Rao","given":"K"},{"family":"Manios","given":"Y"},{"family":"Manzato","given":"E"},{"family":"Margozzini","given":"P"},{"family":"Marques-Vidal","given":"P"},{"family":"Martorell","given":"R"},{"family":"Masoodi","given":"Sr"},{"family":"Mathiesen","given":"Eb"},{"family":"Matsha","given":"Te"},{"family":"Mbanya","given":"Jc"},{"family":"McFarlane","given":"Sr"},{"family":"McGarvey","given":"St"},{"family":"McLachlan","given":"S"},{"family":"McNulty","given":"Ba"},{"family":"Mediene-Benchekor","given":"S"},{"family":"Meirhaeghe","given":"A"},{"family":"Menezes","given":"Am"},{"family":"Merat","given":"S"},{"family":"Meshram","given":"Ii"},{"family":"Mi","given":"J"},{"family":"Miquel","given":"Jf"},{"family":"Miranda","given":"Jj"},{"family":"Mohamed","given":"Mk"},{"family":"Mohammad","given":"K"},{"family":"Mohammadifard","given":"N"},{"family":"Mohan","given":"V"},{"family":"Mohd Yusoff","given":"Mf"},{"family":"Møller","given":"Nc"},{"family":"Molnár","given":"D"},{"family":"Mondo","given":"Ck"},{"family":"Morejon","given":"A"},{"family":"Moreno","given":"La"},{"family":"Morgan","given":"K"},{"family":"Moschonis","given":"G"},{"family":"Mossakowska","given":"M"},{"family":"Mostafa","given":"A"},{"family":"Mota","given":"J"},{"family":"Motta","given":"J"},{"family":"Mu","given":"Tt"},{"family":"Muiesan","given":"Ml"},{"family":"Müller-Nurasyid","given":"M"},{"family":"Mursu","given":"J"},{"family":"Nagel","given":"G"},{"family":"Námešná","given":"J"},{"family":"Nang","given":"Ee"},{"family":"NangThetia","given":"Vb"},{"family":"Navarrete-Muñoz","given":"Em"},{"family":"Ndiaye","given":"Nc"},{"family":"Nenko","given":"I"},{"family":"Nervi","given":"F"},{"family":"Nguyen","given":"Nd"},{"family":"Nguyen","given":"Qn"},{"family":"Nieto-Martínez","given":"Re"},{"family":"Ning","given":"G"},{"family":"Ninomiya","given":"T"},{"family":"Noale","given":"M"},{"family":"Noto","given":"D"},{"family":"Nsour","given":"Ma"},{"family":"Ochoa-Avilés","given":"Am"},{"family":"Oh","given":"K"},{"family":"Onat","given":"A"},{"family":"Ordunez","given":"P"},{"family":"Osmond","given":"C"},{"family":"Otero","given":"Ja"},{"family":"Owusu-Dabo","given":"E"},{"family":"Pahomova","given":"E"},{"family":"Palmieri","given":"L"},{"family":"Panda-Jonas","given":"S"},{"family":"Panza","given":"F"},{"family":"Parsaeian","given":"M"},{"family":"Peixoto","given":"Sv"},{"family":"Pelletier","given":"C"},{"family":"Peltonen","given":"M"},{"family":"Peters","given":"A"},{"family":"Peykari","given":"N"},{"family":"Pham","given":"St"},{"family":"Pilav","given":"A"},{"family":"Pitakaka","given":"F"},{"family":"Piwonska","given":"A"},{"family":"Piwonski","given":"J"},{"family":"Plans-Rubió","given":"P"},{"family":"Porta","given":"M"},{"family":"Portegies","given":"Ml"},{"family":"Poustchi","given":"H"},{"family":"Pradeepa","given":"R"},{"family":"Price","given":"Jf"},{"family":"Punab","given":"M"},{"family":"Qasrawi","given":"Rf"},{"family":"Qorbani","given":"M"},{"family":"Radisauskas","given":"R"},{"family":"Rahman","given":"M"},{"family":"Raitakari","given":"O"},{"family":"Rao","given":"Sr"},{"family":"Ramachandran","given":"A"},{"family":"Ramke","given":"J"},{"family":"Ramos","given":"R"},{"family":"Rampal","given":"S"},{"family":"Rathmann","given":"W"},{"family":"Redon","given":"J"},{"family":"Reganit","given":"Pf"},{"family":"Rigo","given":"F"},{"family":"Robinson","given":"Sm"},{"family":"Robitaille","given":"C"},{"family":"Rodríguez-Artalejo","given":"F"},{"family":"Rodriguez-Perez Mdel","given":"C"},{"family":"Rodríguez-Villamizar","given":"La"},{"family":"Rojas-Martinez","given":"R"},{"family":"Ronkainen","given":"K"},{"family":"Rosengren","given":"A"},{"family":"Rubinstein","given":"A"},{"family":"Rui","given":"O"},{"family":"Ruiz-Betancourt","given":"Bs"},{"family":"Russo Horimoto","given":"Rv"},{"family":"Rutkowski","given":"M"},{"family":"Sabanayagam","given":"C"},{"family":"Sachdev","given":"Hs"},{"family":"Saidi","given":"O"},{"family":"Sakarya","given":"S"},{"family":"Salanave","given":"B"},{"family":"Salonen","given":"Jt"},{"family":"Salvetti","given":"M"},{"family":"Sánchez-Abanto","given":"J"},{"family":"Santos","given":"D"},{"family":"Dos Santos","given":"Rn"},{"family":"Santos","given":"R"},{"family":"Saramies","given":"Jl"},{"family":"Sardinha","given":"Lb"},{"family":"Sarrafzadegan","given":"N"},{"family":"Saum","given":"Ku"},{"family":"Scazufca","given":"M"},{"family":"Schargrodsky","given":"H"},{"family":"Scheidt-Nave","given":"C"},{"family":"Sein","given":"Aa"},{"family":"Sharma","given":"Sk"},{"family":"Shaw","given":"Je"},{"family":"Shibuya","given":"K"},{"family":"Shin","given":"Y"},{"family":"Shiri","given":"R"},{"family":"Siantar","given":"R"},{"family":"Sibai","given":"Am"},{"family":"Simon","given":"M"},{"family":"Simons","given":"J"},{"family":"Simons","given":"La"},{"family":"Sjostrom","given":"M"},{"family":"Slowikowska-Hilczer","given":"J"},{"family":"Slusarczyk","given":"P"},{"family":"Smeeth","given":"L"},{"family":"Snijder","given":"Mb"},{"family":"So","given":"Hk"},{"family":"Sobngwi","given":"E"},{"family":"Söderberg","given":"S"},{"family":"Solfrizzi","given":"V"},{"family":"Sonestedt","given":"E"},{"family":"Soumare","given":"A"},{"family":"Staessen","given":"Ja"},{"family":"Stathopoulou","given":"Mg"},{"family":"Steene-Johannessen","given":"J"},{"family":"Stehle","given":"P"},{"family":"Stein","given":"Ad"},{"family":"Stessman","given":"J"},{"family":"Stöckl","given":"D"},{"family":"Stokwiszewski","given":"J"},{"family":"Stronks","given":"K"},{"family":"Strufaldi","given":"Mw"},{"family":"Sun","given":"Ca"},{"family":"Sundström","given":"J"},{"family":"Sung","given":"Yt"},{"family":"Suriyawongpaisal","given":"P"},{"family":"Sy","given":"Rg"},{"family":"Tai","given":"Es"},{"family":"Tamosiunas","given":"A"},{"family":"Tang","given":"L"},{"family":"Tarawneh","given":"M"},{"family":"Tarqui-Mamani","given":"Cb"},{"family":"Taylor","given":"A"},{"family":"Theobald","given":"H"},{"family":"Thijs","given":"L"},{"family":"Thuesen","given":"Bh"},{"family":"Tolonen","given":"Hk"},{"family":"Tolstrup","given":"Js"},{"family":"Topbas","given":"M"},{"family":"Torrent","given":"M"},{"family":"Traissac","given":"P"},{"family":"Trinh","given":"Ot"},{"family":"Tulloch-Reid","given":"Mk"},{"family":"Tuomainen","given":"Tp"},{"family":"Turley","given":"Ml"},{"family":"Tzourio","given":"C"},{"family":"Ueda","given":"P"},{"family":"Ukoli","given":"Fa"},{"family":"Ulmer","given":"H"},{"family":"Uusitalo","given":"Hm"},{"family":"Valdivia","given":"G"},{"family":"Valvi","given":"D"},{"family":"Van Rossem","given":"L"},{"family":"Van Valkengoed","given":"Ig"},{"family":"Vanderschueren","given":"D"},{"family":"Vanuzzo","given":"D"},{"family":"Vega","given":"T"},{"family":"Velasquez-Melendez","given":"G"},{"family":"Veronesi","given":"G"},{"family":"Verschuren","given":"Wm"},{"family":"Verstraeten","given":"R"},{"family":"Viet","given":"L"},{"family":"Vioque","given":"J"},{"family":"Virtanen","given":"Jk"},{"family":"Visvikis-Siest","given":"S"},{"family":"Viswanathan","given":"B"},{"family":"Vollenweider","given":"P"},{"family":"Voutilainen","given":"S"},{"family":"Vrijheid","given":"M"},{"family":"Wade","given":"An"},{"family":"Wagner","given":"A"},{"family":"Walton","given":"J"},{"family":"Wan Mohamud","given":"Wn"},{"family":"Wang","given":"F"},{"family":"Wang","given":"Md"},{"family":"Wang","given":"Q"},{"family":"Wang","given":"Yx"},{"family":"Wannamethee","given":"Sg"},{"family":"Weerasekera","given":"D"},{"family":"Whincup","given":"Ph"},{"family":"Widhalm","given":"K"},{"family":"Wiecek","given":"A"},{"family":"Wijga","given":"Ah"},{"family":"Wilks","given":"Rj"},{"family":"Willeit","given":"J"},{"family":"Wilsgaard","given":"T"},{"family":"Wojtyniak","given":"B"},{"family":"Wong","given":"Ty"},{"family":"Woo","given":"J"},{"family":"Woodward","given":"M"},{"family":"Wu","given":"Fc"},{"family":"Wu","given":"Sl"},{"family":"Xu","given":"H"},{"family":"Yan","given":"W"},{"family":"Yang","given":"X"},{"family":"Ye","given":"X"},{"family":"Yoshihara","given":"A"},{"family":"Younger-Coleman","given":"No"},{"family":"Zambon","given":"S"},{"family":"Zargar","given":"Ah"},{"family":"Zdrojewski","given":"T"},{"family":"Zhao","given":"W"},{"family":"Zheng","given":"Y"},{"family":"Zuñiga Cisneros","given":"J"}],"issued":{"date-parts":[["2016",4]]}}}],"schema":"https://github.com/citation-style-language/schema/raw/master/csl-citation.json"}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(Zhou et al., 2016)</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Organs implicated in T2DM encompass the pancreatic (beta and alpha cells), liver, skeletal muscles, kidneys, brain, small intestine, and adipose tissue. It have been indicated that dysregulation of adipokines, inflammation and </w:t>
      </w:r>
      <w:r w:rsidRPr="002646EE">
        <w:rPr>
          <w:rFonts w:ascii="Times New Roman" w:eastAsia="ArialMT" w:hAnsi="Times New Roman" w:cs="Times New Roman"/>
          <w:sz w:val="24"/>
          <w:szCs w:val="24"/>
        </w:rPr>
        <w:lastRenderedPageBreak/>
        <w:t xml:space="preserve">disruptions in gut microbiota, along with immune dysregulation, have emerged as significant pathophysiological contributors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{"citationID":"thGMmAXS","properties":{"formattedCitation":"(Schwartz et al., 2016)","plainCitation":"(Schwartz et al., 2016)","noteIndex":0},"citationItems":[{"id":160,"uris":["http://zotero.org/users/local/Eg2UsBJR/items/K7PT38WL"],"itemData":{"id":160,"type":"article-journal","abstract":"The current classification system presents challenges to the diagnosis and treatment of patients with diabetes mellitus (DM), in part due to its conflicting and confounding definitions of type 1 DM, type 2 DM, and latent autoimmune diabetes of adults (LADA). The current schema also lacks a foundation that readily incorporates advances in our understanding of the disease and its treatment. For appropriate and coherent therapy, we propose an alternate classification system. The β-cell–centric classification of DM is a new approach that obviates the inherent and unintended confusions of the current system. The β-cell–centric model presupposes that all DM originates from a final common denominator—the abnormal pancreatic β-cell. It recognizes that interactions between genetically predisposed β-cells with a number of factors, including insulin resistance (IR), susceptibility to environmental influences, and immune dysregulation/inflammation, lead to the range of hyperglycemic phenotypes within the spectrum of DM. Individually or in concert, and often self-perpetuating, these factors contribute to β-cell stress, dysfunction, or loss through at least 11 distinct pathways. Available, yet underutilized, treatments provide rational choices for personalized therapies that target the individual mediating pathways of hyperglycemia at work in any given patient, without the risk of drug-related hypoglycemia or weight gain or imposing further burden on the β-cells. This article issues an urgent call for the review of the current DM classification system toward the consensus on a new, more useful system.","container-title":"Diabetes Care","DOI":"10.2337/dc15-1585","ISSN":"0149-5992, 1935-5548","issue":"2","language":"en","page":"179-186","source":"DOI.org (Crossref)","title":"The Time Is Right for a New Classification System for Diabetes: Rationale and Implications of the β-Cell–Centric Classification Schema","title-short":"The Time Is Right for a New Classification System for Diabetes","volume":"39","author":[{"family":"Schwartz","given":"Stanley S."},{"family":"Epstein","given":"Solomon"},{"family":"Corkey","given":"Barbara E."},{"family":"Grant","given":"Struan F.A."},{"family":"Gavin","given":"James R."},{"family":"Aguilar","given":"Richard B."}],"issued":{"date-parts":[["2016",2,1]]}}}],"schema":"https://github.com/citation-style-language/schema/raw/master/csl-citation.json"}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(Schwartz et al., 2016)</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 xml:space="preserve">The risk factors for T2DM involve a complex interplay of genetic, metabolic and environmental elements, which collectively contribute to its prevalence. While certain non-modifiable risk factors like ethnicity and family history/ genetic predisposition have significant genetic influence on individual susceptibility to T2DM. Epidemiological evidence indicates that a considerable number of T2DM cases can be averted by addressing primary modifiable  risk factors such  as obesity, lack of physical activity and poor dietary habits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{"citationID":"uprPW98O","properties":{"formattedCitation":"(Hu et al., 2001)","plainCitation":"(Hu et al., 2001)","noteIndex":0},"citationItems":[{"id":162,"uris":["http://zotero.org/users/local/Eg2UsBJR/items/93T6DZZM"],"itemData":{"id":162,"type":"article-journal","container-title":"New England Journal of Medicine","DOI":"10.1056/NEJMoa010492","ISSN":"0028-4793, 1533-4406","issue":"11","journalAbbreviation":"N Engl J Med","language":"en","page":"790-797","source":"DOI.org (Crossref)","title":"Diet, Lifestyle, and the Risk of Type 2 Diabetes Mellitus in Women","volume":"345","author":[{"family":"Hu","given":"Frank B."},{"family":"Manson","given":"JoAnn E."},{"family":"Stampfer","given":"Meir J."},{"family":"Colditz","given":"Graham"},{"family":"Liu","given":"Simin"},{"family":"Solomon","given":"Caren G."},{"family":"Willett","given":"Walter C."}],"issued":{"date-parts":[["2001",9,13]]}}}],"schema":"https://github.com/citation-style-language/schema/raw/master/csl-citation.json"}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(Hu et al., 2001)</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{"citationID":"dGQQdBmH","properties":{"formattedCitation":"(Schellenberg et al., 2013)","plainCitation":"(Schellenberg et al., 2013)","noteIndex":0},"citationItems":[{"id":164,"uris":["http://zotero.org/users/local/Eg2UsBJR/items/GZEBBUSQ"],"itemData":{"id":164,"type":"article-journal","container-title":"Annals of Internal Medicine","DOI":"10.7326/0003-4819-159-8-201310150-00007","ISSN":"0003-4819","issue":"8","journalAbbreviation":"Ann Intern Med","language":"en","page":"543","source":"DOI.org (Crossref)","title":"Lifestyle Interventions for Patients With and at Risk for Type 2 Diabetes: A Systematic Review and Meta-analysis","title-short":"Lifestyle Interventions for Patients With and at Risk for Type 2 Diabetes","volume":"159","author":[{"family":"Schellenberg","given":"Elizabeth Sumamo"},{"family":"Dryden","given":"Donna M."},{"family":"Vandermeer","given":"Ben"},{"family":"Ha","given":"Christine"},{"family":"Korownyk","given":"Christina"}],"issued":{"date-parts":[["2013",10,15]]}}}],"schema":"https://github.com/citation-style-language/schema/raw/master/csl-citation.json"}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(Schellenberg et al., 2013)</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6"/>
          <w:szCs w:val="26"/>
        </w:rPr>
      </w:pPr>
    </w:p>
    <w:p w:rsidR="004803EF" w:rsidRPr="002646EE" w:rsidRDefault="00CB2BBE" w:rsidP="002D6B34">
      <w:pPr>
        <w:pStyle w:val="Heading2"/>
      </w:pPr>
      <w:bookmarkStart w:id="4" w:name="_Toc171420533"/>
      <w:r w:rsidRPr="002646EE">
        <w:t xml:space="preserve">1.2 </w:t>
      </w:r>
      <w:r w:rsidRPr="002646EE">
        <w:rPr>
          <w:i/>
        </w:rPr>
        <w:t>Prameha</w:t>
      </w:r>
      <w:r w:rsidRPr="002646EE">
        <w:t xml:space="preserve"> (Ayurveda reference for diabetes mellitus)</w:t>
      </w:r>
      <w:bookmarkEnd w:id="4"/>
    </w:p>
    <w:p w:rsidR="00CB2BBE" w:rsidRPr="002646EE" w:rsidRDefault="00126702"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Fonts w:ascii="Times New Roman" w:hAnsi="Times New Roman" w:cs="Times New Roman"/>
          <w:color w:val="000000"/>
          <w:sz w:val="24"/>
          <w:szCs w:val="24"/>
        </w:rPr>
        <w:t>Prameha is derived from the Sanskrit word "Mih-sechane," meaning "to flow." The term "meha" translates to "micturate," and "mehanam" refers to urination</w:t>
      </w:r>
      <w:r w:rsidRPr="002646EE">
        <w:rPr>
          <w:rFonts w:ascii="Times New Roman" w:hAnsi="Times New Roman" w:cs="Times New Roman"/>
          <w:sz w:val="24"/>
          <w:szCs w:val="24"/>
        </w:rPr>
        <w:t>.</w:t>
      </w:r>
      <w:r w:rsidR="00CB2BBE" w:rsidRPr="002646EE">
        <w:rPr>
          <w:rStyle w:val="NormalWebChar"/>
          <w:rFonts w:eastAsia="ArialMT"/>
        </w:rPr>
        <w:t xml:space="preserve">. The term prefix “pra” from </w:t>
      </w:r>
      <w:r w:rsidR="00CB2BBE" w:rsidRPr="002646EE">
        <w:rPr>
          <w:rFonts w:ascii="Times New Roman" w:eastAsia="ArialMT" w:hAnsi="Times New Roman" w:cs="Times New Roman"/>
          <w:i/>
          <w:iCs/>
          <w:color w:val="000000"/>
          <w:sz w:val="24"/>
          <w:szCs w:val="24"/>
        </w:rPr>
        <w:t>prameha</w:t>
      </w:r>
      <w:r w:rsidR="00CB2BBE" w:rsidRPr="002646EE">
        <w:rPr>
          <w:rStyle w:val="NormalWebChar"/>
          <w:rFonts w:eastAsia="ArialMT"/>
        </w:rPr>
        <w:t xml:space="preserve"> indicating excess in both quantity and frequency. According to sushrutha and vagbhata prameha is a condition marked by significant flow of cloudy or turbid urine. The degree of turbidity in the urine varies depending on the specific type of prameha, which is influenced by the varying proportions of doshas and dushyas involved. Ayurveda delineates a group of inricate clinical conditions characterized by irregularities in urination, collectively referred to as </w:t>
      </w:r>
      <w:r w:rsidR="00CB2BBE" w:rsidRPr="002646EE">
        <w:rPr>
          <w:rFonts w:ascii="Times New Roman" w:eastAsia="ArialMT" w:hAnsi="Times New Roman" w:cs="Times New Roman"/>
          <w:i/>
          <w:iCs/>
          <w:color w:val="000000"/>
          <w:sz w:val="24"/>
          <w:szCs w:val="24"/>
        </w:rPr>
        <w:t xml:space="preserve">prameha. </w:t>
      </w:r>
      <w:r w:rsidR="00CB2BBE" w:rsidRPr="002646EE">
        <w:rPr>
          <w:rStyle w:val="NormalWebChar"/>
          <w:rFonts w:eastAsia="ArialMT"/>
        </w:rPr>
        <w:t xml:space="preserve">These conditions exhibit significant correlations with obesity, metabolic syndrome, and diabetes mellitus. Incorporating Ayurvedic principles and treatments into the management of these conditions could yield valuable benefits </w:t>
      </w:r>
      <w:r w:rsidR="00CB2BBE" w:rsidRPr="002646EE">
        <w:rPr>
          <w:rFonts w:ascii="Times New Roman" w:eastAsia="ArialMT" w:hAnsi="Times New Roman" w:cs="Times New Roman"/>
          <w:sz w:val="24"/>
          <w:szCs w:val="24"/>
        </w:rPr>
        <w:fldChar w:fldCharType="begin"/>
      </w:r>
      <w:r w:rsidR="00CB2BBE" w:rsidRPr="002646EE">
        <w:rPr>
          <w:rFonts w:ascii="Times New Roman" w:eastAsia="ArialMT" w:hAnsi="Times New Roman" w:cs="Times New Roman"/>
          <w:sz w:val="24"/>
          <w:szCs w:val="24"/>
        </w:rPr>
        <w:instrText xml:space="preserve"> ADDIN ZOTERO_ITEM CSL_CITATION {"citationID":"3iO5w3ZD","properties":{"formattedCitation":"(Sharma &amp; Chandola, 2011)","plainCitation":"(Sharma &amp; Chandola, 2011)","noteIndex":0},"citationItems":[{"id":167,"uris":["http://zotero.org/users/local/Eg2UsBJR/items/SQQIA3IL"],"itemData":{"id":167,"type":"article-journal","container-title":"The Journal of Alternative and Complementary Medicine","DOI":"10.1089/acm.2010.0396","ISSN":"1075-5535, 1557-7708","issue":"6","journalAbbreviation":"The Journal of Alternative and Complementary Medicine","language":"en","page":"491-496","source":"DOI.org (Crossref)","title":"&lt;i&gt;Prameha&lt;/i&gt; in &lt;i&gt;Ayurveda&lt;/i&gt; : Correlation with Obesity, Metabolic Syndrome, and Diabetes Mellitus. Part 1–Etiology, Classification, and Pathogenesis","title-short":"&lt;i&gt;Prameha&lt;/i&gt; in &lt;i&gt;Ayurveda&lt;/i&gt;","volume":"17","author":[{"family":"Sharma","given":"Hari"},{"family":"Chandola","given":"H.M."}],"issued":{"date-parts":[["2011",6]]}}}],"schema":"https://github.com/citation-style-language/schema/raw/master/csl-citation.json"} </w:instrText>
      </w:r>
      <w:r w:rsidR="00CB2BBE" w:rsidRPr="002646EE">
        <w:rPr>
          <w:rFonts w:ascii="Times New Roman" w:eastAsia="ArialMT" w:hAnsi="Times New Roman" w:cs="Times New Roman"/>
          <w:sz w:val="24"/>
          <w:szCs w:val="24"/>
        </w:rPr>
        <w:fldChar w:fldCharType="separate"/>
      </w:r>
      <w:r w:rsidR="00CB2BBE" w:rsidRPr="002646EE">
        <w:rPr>
          <w:rFonts w:ascii="Times New Roman" w:hAnsi="Times New Roman" w:cs="Times New Roman"/>
          <w:sz w:val="24"/>
          <w:szCs w:val="24"/>
        </w:rPr>
        <w:t>(Sharma &amp; Chandola, 2011)</w:t>
      </w:r>
      <w:r w:rsidR="00CB2BBE" w:rsidRPr="002646EE">
        <w:rPr>
          <w:rFonts w:ascii="Times New Roman" w:eastAsia="ArialMT" w:hAnsi="Times New Roman" w:cs="Times New Roman"/>
          <w:sz w:val="24"/>
          <w:szCs w:val="24"/>
        </w:rPr>
        <w:fldChar w:fldCharType="end"/>
      </w:r>
      <w:r w:rsidR="00CB2BBE" w:rsidRPr="002646EE">
        <w:rPr>
          <w:rFonts w:ascii="Times New Roman" w:eastAsia="ArialMT" w:hAnsi="Times New Roman" w:cs="Times New Roman"/>
          <w:sz w:val="24"/>
          <w:szCs w:val="24"/>
        </w:rPr>
        <w:t>.</w:t>
      </w:r>
    </w:p>
    <w:p w:rsidR="00CB2BBE" w:rsidRPr="002646EE" w:rsidRDefault="00CB2BBE" w:rsidP="001A3F84">
      <w:pPr>
        <w:pStyle w:val="Heading3"/>
        <w:rPr>
          <w:rFonts w:ascii="Times New Roman" w:hAnsi="Times New Roman" w:cs="Times New Roman"/>
        </w:rPr>
      </w:pPr>
      <w:bookmarkStart w:id="5" w:name="_Toc171420534"/>
      <w:r w:rsidRPr="002646EE">
        <w:rPr>
          <w:rFonts w:ascii="Times New Roman" w:hAnsi="Times New Roman" w:cs="Times New Roman"/>
        </w:rPr>
        <w:t xml:space="preserve">Etiology of </w:t>
      </w:r>
      <w:r w:rsidRPr="002646EE">
        <w:rPr>
          <w:rFonts w:ascii="Times New Roman" w:hAnsi="Times New Roman" w:cs="Times New Roman"/>
          <w:i/>
          <w:iCs/>
        </w:rPr>
        <w:t>prameha:</w:t>
      </w:r>
      <w:bookmarkEnd w:id="5"/>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Fonts w:ascii="Times New Roman" w:eastAsia="ArialMT" w:hAnsi="Times New Roman" w:cs="Times New Roman"/>
          <w:i/>
          <w:iCs/>
          <w:color w:val="000000"/>
          <w:sz w:val="24"/>
          <w:szCs w:val="24"/>
        </w:rPr>
        <w:t>Nidana, a fundamental branch of Ayurveda</w:t>
      </w:r>
      <w:r w:rsidRPr="002646EE">
        <w:rPr>
          <w:rStyle w:val="NormalWebChar"/>
          <w:rFonts w:eastAsia="ArialMT"/>
        </w:rPr>
        <w:t xml:space="preserve">, focuses on understanding the causes of diseases. In the susrutha samhitha (an Ayurvedic classic text), the etiology of prameha is indicated.As per sushrutha causes are classified into two types: </w:t>
      </w:r>
      <w:r w:rsidRPr="002646EE">
        <w:rPr>
          <w:rFonts w:ascii="Times New Roman" w:eastAsia="ArialMT" w:hAnsi="Times New Roman" w:cs="Times New Roman"/>
          <w:i/>
          <w:iCs/>
          <w:color w:val="000000"/>
          <w:sz w:val="24"/>
          <w:szCs w:val="24"/>
        </w:rPr>
        <w:t>sahaja</w:t>
      </w:r>
      <w:r w:rsidRPr="002646EE">
        <w:rPr>
          <w:rStyle w:val="NormalWebChar"/>
          <w:rFonts w:eastAsia="ArialMT"/>
        </w:rPr>
        <w:t xml:space="preserve">, which is inherent or hereditary, </w:t>
      </w:r>
      <w:r w:rsidRPr="002646EE">
        <w:rPr>
          <w:rFonts w:ascii="Times New Roman" w:eastAsia="ArialMT" w:hAnsi="Times New Roman" w:cs="Times New Roman"/>
          <w:i/>
          <w:iCs/>
          <w:color w:val="000000"/>
          <w:sz w:val="24"/>
          <w:szCs w:val="24"/>
        </w:rPr>
        <w:t xml:space="preserve">and </w:t>
      </w:r>
      <w:r w:rsidR="00126702" w:rsidRPr="002646EE">
        <w:rPr>
          <w:rFonts w:ascii="Times New Roman" w:hAnsi="Times New Roman" w:cs="Times New Roman"/>
          <w:sz w:val="24"/>
          <w:szCs w:val="24"/>
        </w:rPr>
        <w:t xml:space="preserve">Apathyanimittaja is a condition acquired due to lifestyle factors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{"citationID":"ZKDuHZ98","properties":{"formattedCitation":"(Sharma &amp; Chandola, 2011)","plainCitation":"(Sharma &amp; Chandola, 2011)","noteIndex":0},"citationItems":[{"id":167,"uris":["http://zotero.org/users/local/Eg2UsBJR/items/SQQIA3IL"],"itemData":{"id":167,"type":"article-journal","container-title":"The Journal of Alternative and Complementary Medicine","DOI":"10.1089/acm.2010.0396","ISSN":"1075-5535, 1557-7708","issue":"6","journalAbbreviation":"The Journal of Alternative and Complementary Medicine","language":"en","page":"491-496","source":"DOI.org (Crossref)","title":"&lt;i&gt;Prameha&lt;/i&gt; in &lt;i&gt;Ayurveda&lt;/i&gt; : Correlation with Obesity, Metabolic Syndrome, and Diabetes Mellitus. Part 1–Etiology, Classification, and Pathogenesis","title-short":"&lt;i&gt;Prameha&lt;/i&gt; in &lt;i&gt;Ayurveda&lt;/i&gt;","volume":"17","author":[{"family":"Sharma","given":"Hari"},{"family":"Chandola","given":"H.M."}],"issued":{"date-parts":[["2011",6]]}}}],"schema":"https://github.com/citation-style-language/schema/raw/master/csl-citation.json"}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(Sharma &amp; Chandola, 2011)</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The way </w:t>
      </w:r>
      <w:r w:rsidRPr="002646EE">
        <w:rPr>
          <w:rFonts w:ascii="Times New Roman" w:eastAsia="ArialMT" w:hAnsi="Times New Roman" w:cs="Times New Roman"/>
          <w:i/>
          <w:iCs/>
          <w:color w:val="000000"/>
          <w:sz w:val="24"/>
          <w:szCs w:val="24"/>
        </w:rPr>
        <w:t xml:space="preserve">Apathyanimittaja prameha </w:t>
      </w:r>
      <w:r w:rsidRPr="002646EE">
        <w:rPr>
          <w:rFonts w:ascii="Times New Roman" w:eastAsia="ArialMT" w:hAnsi="Times New Roman" w:cs="Times New Roman"/>
          <w:sz w:val="24"/>
          <w:szCs w:val="24"/>
        </w:rPr>
        <w:t>is described</w:t>
      </w:r>
      <w:r w:rsidRPr="002646EE">
        <w:rPr>
          <w:rFonts w:ascii="Times New Roman" w:eastAsia="ArialMT" w:hAnsi="Times New Roman" w:cs="Times New Roman"/>
          <w:i/>
          <w:sz w:val="24"/>
          <w:szCs w:val="24"/>
        </w:rPr>
        <w:t xml:space="preserve"> </w:t>
      </w:r>
      <w:r w:rsidRPr="002646EE">
        <w:rPr>
          <w:rStyle w:val="NormalWebChar"/>
          <w:rFonts w:eastAsia="ArialMT"/>
        </w:rPr>
        <w:t xml:space="preserve">in sushrutha Samhita is similar to T2DM (also called non-insulin-dependent DM or adult-onset diabetes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{"citationID":"2CDtRqLF","properties":{"formattedCitation":"(Sharma &amp; Chandola, 2011)","plainCitation":"(Sharma &amp; Chandola, 2011)","noteIndex":0},"citationItems":[{"id":167,"uris":["http://zotero.org/users/local/Eg2UsBJR/items/SQQIA3IL"],"itemData":{"id":167,"type":"article-journal","container-title":"The Journal of Alternative and Complementary Medicine","DOI":"10.1089/acm.2010.0396","ISSN":"1075-5535, 1557-7708","issue":"6","journalAbbreviation":"The Journal of Alternative and Complementary Medicine","language":"en","page":"491-496","source":"DOI.org (Crossref)","title":"&lt;i&gt;Prameha&lt;/i&gt; in &lt;i&gt;Ayurveda&lt;/i&gt; : Correlation with Obesity, Metabolic Syndrome, and Diabetes Mellitus. Part 1–Etiology, Classification, and Pathogenesis","title-short":"&lt;i&gt;Prameha&lt;/i&gt; in &lt;i&gt;Ayurveda&lt;/i&gt;","volume":"17","author":[{"family":"Sharma","given":"Hari"},{"family":"Chandola","given":"H.M."}],"issued":{"date-parts":[["2011",6]]}}}],"schema":"https://github.com/citation-style-language/schema/raw/master/csl-citation.json"}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(Sharma &amp; Chandola, 2011)</w:t>
      </w:r>
      <w:r w:rsidRPr="002646EE">
        <w:rPr>
          <w:rFonts w:ascii="Times New Roman" w:eastAsia="ArialMT" w:hAnsi="Times New Roman" w:cs="Times New Roman"/>
          <w:sz w:val="24"/>
          <w:szCs w:val="24"/>
        </w:rPr>
        <w:fldChar w:fldCharType="end"/>
      </w:r>
      <w:r w:rsidRPr="002646EE">
        <w:rPr>
          <w:rStyle w:val="NormalWebChar"/>
          <w:rFonts w:eastAsia="ArialMT"/>
        </w:rPr>
        <w:t>. Some ayurvedic classic texts have the list of types of food and drinks which cause this disease, briefly</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sz w:val="24"/>
          <w:szCs w:val="24"/>
        </w:rPr>
      </w:pPr>
      <w:r w:rsidRPr="002646EE">
        <w:rPr>
          <w:rStyle w:val="NormalWebChar"/>
          <w:rFonts w:eastAsia="ArialMT"/>
        </w:rPr>
        <w:t xml:space="preserve">explains lifestyle and psychological factors that contribute to the onset of </w:t>
      </w:r>
      <w:r w:rsidRPr="002646EE">
        <w:rPr>
          <w:rFonts w:ascii="Times New Roman" w:eastAsia="ArialMT" w:hAnsi="Times New Roman" w:cs="Times New Roman"/>
          <w:i/>
          <w:iCs/>
          <w:color w:val="000000"/>
          <w:sz w:val="24"/>
          <w:szCs w:val="24"/>
        </w:rPr>
        <w:t xml:space="preserve">prameha </w:t>
      </w:r>
      <w:r w:rsidRPr="002646EE">
        <w:rPr>
          <w:rFonts w:ascii="Times New Roman" w:eastAsia="ArialMT" w:hAnsi="Times New Roman" w:cs="Times New Roman"/>
          <w:i/>
          <w:sz w:val="24"/>
          <w:szCs w:val="24"/>
        </w:rPr>
        <w:fldChar w:fldCharType="begin"/>
      </w:r>
      <w:r w:rsidRPr="002646EE">
        <w:rPr>
          <w:rFonts w:ascii="Times New Roman" w:eastAsia="ArialMT" w:hAnsi="Times New Roman" w:cs="Times New Roman"/>
          <w:i/>
          <w:sz w:val="24"/>
          <w:szCs w:val="24"/>
        </w:rPr>
        <w:instrText xml:space="preserve"> ADDIN ZOTERO_ITEM CSL_CITATION {"citationID":"jjKsIskR","properties":{"formattedCitation":"(Sharma &amp; Chandola, 2011)","plainCitation":"(Sharma &amp; Chandola, 2011)","noteIndex":0},"citationItems":[{"id":167,"uris":["http://zotero.org/users/local/Eg2UsBJR/items/SQQIA3IL"],"itemData":{"id":167,"type":"article-journal","container-title":"The Journal of Alternative and Complementary Medicine","DOI":"10.1089/acm.2010.0396","ISSN":"1075-5535, 1557-7708","issue":"6","journalAbbreviation":"The Journal of Alternative and Complementary Medicine","language":"en","page":"491-496","source":"DOI.org (Crossref)","title":"&lt;i&gt;Prameha&lt;/i&gt; in &lt;i&gt;Ayurveda&lt;/i&gt; : Correlation with Obesity, Metabolic Syndrome, and Diabetes Mellitus. Part 1–Etiology, Classification, and Pathogenesis","title-short":"&lt;i&gt;Prameha&lt;/i&gt; in &lt;i&gt;Ayurveda&lt;/i&gt;","volume":"17","author":[{"family":"Sharma","given":"Hari"},{"family":"Chandola","given":"H.M."}],"issued":{"date-parts":[["2011",6]]}}}],"schema":"https://github.com/citation-style-language/schema/raw/master/csl-citation.json"} </w:instrText>
      </w:r>
      <w:r w:rsidRPr="002646EE">
        <w:rPr>
          <w:rFonts w:ascii="Times New Roman" w:eastAsia="ArialMT" w:hAnsi="Times New Roman" w:cs="Times New Roman"/>
          <w:i/>
          <w:sz w:val="24"/>
          <w:szCs w:val="24"/>
        </w:rPr>
        <w:fldChar w:fldCharType="separate"/>
      </w:r>
      <w:r w:rsidRPr="002646EE">
        <w:rPr>
          <w:rFonts w:ascii="Times New Roman" w:hAnsi="Times New Roman" w:cs="Times New Roman"/>
          <w:sz w:val="24"/>
          <w:szCs w:val="24"/>
        </w:rPr>
        <w:t>(Sharma &amp; Chandola, 2011)</w:t>
      </w:r>
      <w:r w:rsidRPr="002646EE">
        <w:rPr>
          <w:rFonts w:ascii="Times New Roman" w:eastAsia="ArialMT" w:hAnsi="Times New Roman" w:cs="Times New Roman"/>
          <w:i/>
          <w:sz w:val="24"/>
          <w:szCs w:val="24"/>
        </w:rPr>
        <w:fldChar w:fldCharType="end"/>
      </w:r>
      <w:r w:rsidRPr="002646EE">
        <w:rPr>
          <w:rFonts w:ascii="Times New Roman" w:eastAsia="ArialMT" w:hAnsi="Times New Roman" w:cs="Times New Roman"/>
          <w:i/>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1A3F84">
      <w:pPr>
        <w:pStyle w:val="Heading3"/>
        <w:rPr>
          <w:rFonts w:ascii="Times New Roman" w:hAnsi="Times New Roman" w:cs="Times New Roman"/>
        </w:rPr>
      </w:pPr>
      <w:bookmarkStart w:id="6" w:name="_Toc171420535"/>
      <w:r w:rsidRPr="002646EE">
        <w:rPr>
          <w:rFonts w:ascii="Times New Roman" w:hAnsi="Times New Roman" w:cs="Times New Roman"/>
          <w:i/>
        </w:rPr>
        <w:lastRenderedPageBreak/>
        <w:t>Doshaja</w:t>
      </w:r>
      <w:r w:rsidRPr="002646EE">
        <w:rPr>
          <w:rFonts w:ascii="Times New Roman" w:hAnsi="Times New Roman" w:cs="Times New Roman"/>
        </w:rPr>
        <w:t xml:space="preserve"> classification of </w:t>
      </w:r>
      <w:r w:rsidRPr="002646EE">
        <w:rPr>
          <w:rFonts w:ascii="Times New Roman" w:hAnsi="Times New Roman" w:cs="Times New Roman"/>
          <w:i/>
        </w:rPr>
        <w:t>prameha</w:t>
      </w:r>
      <w:bookmarkEnd w:id="6"/>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Style w:val="NormalWebChar"/>
          <w:rFonts w:eastAsia="ArialMT"/>
        </w:rPr>
        <w:t xml:space="preserve">The classification of </w:t>
      </w:r>
      <w:r w:rsidRPr="002646EE">
        <w:rPr>
          <w:rFonts w:ascii="Times New Roman" w:eastAsia="ArialMT" w:hAnsi="Times New Roman" w:cs="Times New Roman"/>
          <w:i/>
          <w:iCs/>
          <w:color w:val="000000"/>
          <w:sz w:val="24"/>
          <w:szCs w:val="24"/>
        </w:rPr>
        <w:t>prameha</w:t>
      </w:r>
      <w:r w:rsidRPr="002646EE">
        <w:rPr>
          <w:rStyle w:val="NormalWebChar"/>
          <w:rFonts w:eastAsia="ArialMT"/>
        </w:rPr>
        <w:t xml:space="preserve"> is based on the dominant </w:t>
      </w:r>
      <w:r w:rsidRPr="002646EE">
        <w:rPr>
          <w:rFonts w:ascii="Times New Roman" w:eastAsia="ArialMT" w:hAnsi="Times New Roman" w:cs="Times New Roman"/>
          <w:i/>
          <w:iCs/>
          <w:color w:val="000000"/>
          <w:sz w:val="24"/>
          <w:szCs w:val="24"/>
        </w:rPr>
        <w:t>dosha</w:t>
      </w:r>
      <w:r w:rsidRPr="002646EE">
        <w:rPr>
          <w:rStyle w:val="NormalWebChar"/>
          <w:rFonts w:eastAsia="ArialMT"/>
        </w:rPr>
        <w:t xml:space="preserve"> in the disease process. Ayurveda delineates three primary clinical distinctions : </w:t>
      </w:r>
      <w:r w:rsidRPr="002646EE">
        <w:rPr>
          <w:rFonts w:ascii="Times New Roman" w:eastAsia="ArialMT" w:hAnsi="Times New Roman" w:cs="Times New Roman"/>
          <w:i/>
          <w:iCs/>
          <w:color w:val="000000"/>
          <w:sz w:val="24"/>
          <w:szCs w:val="24"/>
        </w:rPr>
        <w:t>kaphaja, pittaja</w:t>
      </w:r>
      <w:r w:rsidRPr="002646EE">
        <w:rPr>
          <w:rStyle w:val="NormalWebChar"/>
          <w:rFonts w:eastAsia="ArialMT"/>
        </w:rPr>
        <w:t xml:space="preserve"> and </w:t>
      </w:r>
      <w:r w:rsidRPr="002646EE">
        <w:rPr>
          <w:rFonts w:ascii="Times New Roman" w:eastAsia="ArialMT" w:hAnsi="Times New Roman" w:cs="Times New Roman"/>
          <w:i/>
          <w:iCs/>
          <w:color w:val="000000"/>
          <w:sz w:val="24"/>
          <w:szCs w:val="24"/>
        </w:rPr>
        <w:t>vataja</w:t>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i/>
          <w:sz w:val="24"/>
          <w:szCs w:val="24"/>
        </w:rPr>
        <w:t>prameha</w:t>
      </w:r>
      <w:r w:rsidRPr="002646EE">
        <w:rPr>
          <w:rStyle w:val="NormalWebChar"/>
          <w:rFonts w:eastAsia="ArialMT"/>
        </w:rPr>
        <w:t>. Ayurveda has outlined a progression of</w:t>
      </w:r>
      <w:r w:rsidRPr="002646EE">
        <w:rPr>
          <w:rFonts w:ascii="Times New Roman" w:eastAsia="ArialMT" w:hAnsi="Times New Roman" w:cs="Times New Roman"/>
          <w:i/>
          <w:iCs/>
          <w:color w:val="000000"/>
          <w:sz w:val="24"/>
          <w:szCs w:val="24"/>
        </w:rPr>
        <w:t xml:space="preserve"> prameha</w:t>
      </w:r>
      <w:r w:rsidRPr="002646EE">
        <w:rPr>
          <w:rStyle w:val="NormalWebChar"/>
          <w:rFonts w:eastAsia="ArialMT"/>
        </w:rPr>
        <w:t xml:space="preserve"> into various stages.In the initial stage, an excess of </w:t>
      </w:r>
      <w:r w:rsidRPr="002646EE">
        <w:rPr>
          <w:rFonts w:ascii="Times New Roman" w:eastAsia="ArialMT" w:hAnsi="Times New Roman" w:cs="Times New Roman"/>
          <w:i/>
          <w:sz w:val="24"/>
          <w:szCs w:val="24"/>
        </w:rPr>
        <w:t>kapha</w:t>
      </w:r>
      <w:r w:rsidRPr="002646EE">
        <w:rPr>
          <w:rFonts w:ascii="Times New Roman" w:eastAsia="ArialMT" w:hAnsi="Times New Roman" w:cs="Times New Roman"/>
          <w:color w:val="000000"/>
          <w:sz w:val="24"/>
          <w:szCs w:val="24"/>
        </w:rPr>
        <w:t xml:space="preserve"> disturbs the balance of </w:t>
      </w:r>
      <w:r w:rsidRPr="002646EE">
        <w:rPr>
          <w:rFonts w:ascii="Times New Roman" w:eastAsia="ArialMT" w:hAnsi="Times New Roman" w:cs="Times New Roman"/>
          <w:i/>
          <w:sz w:val="24"/>
          <w:szCs w:val="24"/>
        </w:rPr>
        <w:t xml:space="preserve">meda </w:t>
      </w:r>
      <w:r w:rsidRPr="002646EE">
        <w:rPr>
          <w:rStyle w:val="NormalWebChar"/>
          <w:rFonts w:eastAsia="ArialMT"/>
        </w:rPr>
        <w:t xml:space="preserve">(fat) and (kleda) body fluid, leading to the onset of </w:t>
      </w:r>
      <w:r w:rsidRPr="002646EE">
        <w:rPr>
          <w:rFonts w:ascii="Times New Roman" w:eastAsia="ArialMT" w:hAnsi="Times New Roman" w:cs="Times New Roman"/>
          <w:i/>
          <w:iCs/>
          <w:color w:val="000000"/>
          <w:sz w:val="24"/>
          <w:szCs w:val="24"/>
        </w:rPr>
        <w:t xml:space="preserve">kaphaja prameha </w:t>
      </w:r>
      <w:r w:rsidRPr="002646EE">
        <w:rPr>
          <w:rFonts w:ascii="Times New Roman" w:eastAsia="ArialMT" w:hAnsi="Times New Roman" w:cs="Times New Roman"/>
          <w:i/>
          <w:sz w:val="24"/>
          <w:szCs w:val="24"/>
        </w:rPr>
        <w:fldChar w:fldCharType="begin"/>
      </w:r>
      <w:r w:rsidRPr="002646EE">
        <w:rPr>
          <w:rFonts w:ascii="Times New Roman" w:eastAsia="ArialMT" w:hAnsi="Times New Roman" w:cs="Times New Roman"/>
          <w:i/>
          <w:sz w:val="24"/>
          <w:szCs w:val="24"/>
        </w:rPr>
        <w:instrText xml:space="preserve"> ADDIN ZOTERO_ITEM CSL_CITATION {"citationID":"zLPWnYbY","properties":{"formattedCitation":"(Sharma &amp; Chandola, 2011)","plainCitation":"(Sharma &amp; Chandola, 2011)","noteIndex":0},"citationItems":[{"id":167,"uris":["http://zotero.org/users/local/Eg2UsBJR/items/SQQIA3IL"],"itemData":{"id":167,"type":"article-journal","container-title":"The Journal of Alternative and Complementary Medicine","DOI":"10.1089/acm.2010.0396","ISSN":"1075-5535, 1557-7708","issue":"6","journalAbbreviation":"The Journal of Alternative and Complementary Medicine","language":"en","page":"491-496","source":"DOI.org (Crossref)","title":"&lt;i&gt;Prameha&lt;/i&gt; in &lt;i&gt;Ayurveda&lt;/i&gt; : Correlation with Obesity, Metabolic Syndrome, and Diabetes Mellitus. Part 1–Etiology, Classification, and Pathogenesis","title-short":"&lt;i&gt;Prameha&lt;/i&gt; in &lt;i&gt;Ayurveda&lt;/i&gt;","volume":"17","author":[{"family":"Sharma","given":"Hari"},{"family":"Chandola","given":"H.M."}],"issued":{"date-parts":[["2011",6]]}}}],"schema":"https://github.com/citation-style-language/schema/raw/master/csl-citation.json"} </w:instrText>
      </w:r>
      <w:r w:rsidRPr="002646EE">
        <w:rPr>
          <w:rFonts w:ascii="Times New Roman" w:eastAsia="ArialMT" w:hAnsi="Times New Roman" w:cs="Times New Roman"/>
          <w:i/>
          <w:sz w:val="24"/>
          <w:szCs w:val="24"/>
        </w:rPr>
        <w:fldChar w:fldCharType="separate"/>
      </w:r>
      <w:r w:rsidRPr="002646EE">
        <w:rPr>
          <w:rFonts w:ascii="Times New Roman" w:hAnsi="Times New Roman" w:cs="Times New Roman"/>
          <w:sz w:val="24"/>
          <w:szCs w:val="24"/>
        </w:rPr>
        <w:t>(Sharma &amp; Chandola, 2011)</w:t>
      </w:r>
      <w:r w:rsidRPr="002646EE">
        <w:rPr>
          <w:rFonts w:ascii="Times New Roman" w:eastAsia="ArialMT" w:hAnsi="Times New Roman" w:cs="Times New Roman"/>
          <w:i/>
          <w:sz w:val="24"/>
          <w:szCs w:val="24"/>
        </w:rPr>
        <w:fldChar w:fldCharType="end"/>
      </w:r>
      <w:r w:rsidRPr="002646EE">
        <w:rPr>
          <w:rStyle w:val="NormalWebChar"/>
          <w:rFonts w:eastAsia="ArialMT"/>
        </w:rPr>
        <w:t>.As the condition progresses, there is depletion(kshaya) of  kapha, allowing pitta to become predominant. This imbalance leads to the vitiation of blood(Sharma &amp; Chandola, 2011)(</w:t>
      </w:r>
      <w:r w:rsidRPr="002646EE">
        <w:rPr>
          <w:rFonts w:ascii="Times New Roman" w:eastAsia="ArialMT" w:hAnsi="Times New Roman" w:cs="Times New Roman"/>
          <w:i/>
          <w:sz w:val="24"/>
          <w:szCs w:val="24"/>
        </w:rPr>
        <w:t>rakta</w:t>
      </w:r>
      <w:r w:rsidRPr="002646EE">
        <w:rPr>
          <w:rStyle w:val="NormalWebChar"/>
          <w:rFonts w:eastAsia="ArialMT"/>
        </w:rPr>
        <w:t xml:space="preserve">), triggering the manifestation of </w:t>
      </w:r>
      <w:r w:rsidRPr="002646EE">
        <w:rPr>
          <w:rFonts w:ascii="Times New Roman" w:eastAsia="ArialMT" w:hAnsi="Times New Roman" w:cs="Times New Roman"/>
          <w:i/>
          <w:sz w:val="24"/>
          <w:szCs w:val="24"/>
        </w:rPr>
        <w:t>pittaja prameha</w:t>
      </w:r>
      <w:r w:rsidRPr="002646EE">
        <w:rPr>
          <w:rFonts w:ascii="Times New Roman" w:eastAsia="ArialMT" w:hAnsi="Times New Roman" w:cs="Times New Roman"/>
          <w:color w:val="000000"/>
          <w:sz w:val="24"/>
          <w:szCs w:val="24"/>
        </w:rPr>
        <w:t xml:space="preserve">. Continued progression results in the depletion of </w:t>
      </w:r>
      <w:r w:rsidRPr="002646EE">
        <w:rPr>
          <w:rFonts w:ascii="Times New Roman" w:eastAsia="ArialMT" w:hAnsi="Times New Roman" w:cs="Times New Roman"/>
          <w:i/>
          <w:iCs/>
          <w:color w:val="000000"/>
          <w:sz w:val="24"/>
          <w:szCs w:val="24"/>
        </w:rPr>
        <w:t>pitta</w:t>
      </w:r>
      <w:r w:rsidRPr="002646EE">
        <w:rPr>
          <w:rFonts w:ascii="Times New Roman" w:eastAsia="ArialMT" w:hAnsi="Times New Roman" w:cs="Times New Roman"/>
          <w:sz w:val="24"/>
          <w:szCs w:val="24"/>
        </w:rPr>
        <w:t xml:space="preserve">, leading to the imbalance of </w:t>
      </w:r>
      <w:r w:rsidRPr="002646EE">
        <w:rPr>
          <w:rFonts w:ascii="Times New Roman" w:eastAsia="ArialMT" w:hAnsi="Times New Roman" w:cs="Times New Roman"/>
          <w:i/>
          <w:sz w:val="24"/>
          <w:szCs w:val="24"/>
        </w:rPr>
        <w:t>vata</w:t>
      </w:r>
      <w:r w:rsidRPr="002646EE">
        <w:rPr>
          <w:rStyle w:val="NormalWebChar"/>
          <w:rFonts w:eastAsia="ArialMT"/>
        </w:rPr>
        <w:t xml:space="preserve">. This imbalance causes the expulsion of vital substances or essence from the body through urine, thereby initiating </w:t>
      </w:r>
      <w:r w:rsidRPr="002646EE">
        <w:rPr>
          <w:rFonts w:ascii="Times New Roman" w:eastAsia="ArialMT" w:hAnsi="Times New Roman" w:cs="Times New Roman"/>
          <w:i/>
          <w:iCs/>
          <w:color w:val="000000"/>
          <w:sz w:val="24"/>
          <w:szCs w:val="24"/>
        </w:rPr>
        <w:t>vataja prameha</w:t>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{"citationID":"5G87iJnW","properties":{"formattedCitation":"(Sharma &amp; Chandola, 2011)","plainCitation":"(Sharma &amp; Chandola, 2011)","noteIndex":0},"citationItems":[{"id":167,"uris":["http://zotero.org/users/local/Eg2UsBJR/items/SQQIA3IL"],"itemData":{"id":167,"type":"article-journal","container-title":"The Journal of Alternative and Complementary Medicine","DOI":"10.1089/acm.2010.0396","ISSN":"1075-5535, 1557-7708","issue":"6","journalAbbreviation":"The Journal of Alternative and Complementary Medicine","language":"en","page":"491-496","source":"DOI.org (Crossref)","title":"&lt;i&gt;Prameha&lt;/i&gt; in &lt;i&gt;Ayurveda&lt;/i&gt; : Correlation with Obesity, Metabolic Syndrome, and Diabetes Mellitus. Part 1–Etiology, Classification, and Pathogenesis","title-short":"&lt;i&gt;Prameha&lt;/i&gt; in &lt;i&gt;Ayurveda&lt;/i&gt;","volume":"17","author":[{"family":"Sharma","given":"Hari"},{"family":"Chandola","given":"H.M."}],"issued":{"date-parts":[["2011",6]]}}}],"schema":"https://github.com/citation-style-language/schema/raw/master/csl-citation.json"}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(Sharma &amp; Chandola, 2011)</w:t>
      </w:r>
      <w:r w:rsidRPr="002646EE">
        <w:rPr>
          <w:rFonts w:ascii="Times New Roman" w:eastAsia="ArialMT" w:hAnsi="Times New Roman" w:cs="Times New Roman"/>
          <w:sz w:val="24"/>
          <w:szCs w:val="24"/>
        </w:rPr>
        <w:fldChar w:fldCharType="end"/>
      </w:r>
      <w:r w:rsidRPr="002646EE">
        <w:rPr>
          <w:rStyle w:val="NormalWebChar"/>
          <w:rFonts w:eastAsia="ArialMT"/>
        </w:rPr>
        <w:t>.</w:t>
      </w:r>
    </w:p>
    <w:p w:rsidR="00CB2BBE" w:rsidRPr="002646EE" w:rsidRDefault="00182AAF"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hAnsi="Times New Roman" w:cs="Times New Roman"/>
          <w:sz w:val="24"/>
          <w:szCs w:val="24"/>
        </w:rPr>
        <w:t>Ayurveda outlines 20 subtypes of prameha based on unique urinary traits and clinical manifestations.</w:t>
      </w:r>
      <w:r w:rsidR="00A05AF4" w:rsidRPr="002646EE">
        <w:rPr>
          <w:rStyle w:val="NormalWebChar"/>
          <w:rFonts w:eastAsia="ArialMT"/>
        </w:rPr>
        <w:t xml:space="preserve"> </w:t>
      </w:r>
      <w:r w:rsidRPr="002646EE">
        <w:rPr>
          <w:rFonts w:ascii="Times New Roman" w:hAnsi="Times New Roman" w:cs="Times New Roman"/>
          <w:sz w:val="24"/>
          <w:szCs w:val="24"/>
        </w:rPr>
        <w:t>They are further divided into ten subtypes under kaphaja prameha, six under pittaja prameha, and four under vataja prameha</w:t>
      </w:r>
      <w:r w:rsidR="00CB2BBE" w:rsidRPr="002646EE">
        <w:rPr>
          <w:rStyle w:val="NormalWebChar"/>
          <w:rFonts w:eastAsia="ArialMT"/>
        </w:rPr>
        <w:t xml:space="preserve">. When correlating the </w:t>
      </w:r>
      <w:r w:rsidR="00CB2BBE" w:rsidRPr="002646EE">
        <w:rPr>
          <w:rFonts w:ascii="Times New Roman" w:eastAsia="ArialMT" w:hAnsi="Times New Roman" w:cs="Times New Roman"/>
          <w:i/>
          <w:sz w:val="24"/>
          <w:szCs w:val="24"/>
        </w:rPr>
        <w:t>dosha</w:t>
      </w:r>
      <w:r w:rsidR="00CB2BBE" w:rsidRPr="002646EE">
        <w:rPr>
          <w:rFonts w:ascii="Times New Roman" w:eastAsia="ArialMT" w:hAnsi="Times New Roman" w:cs="Times New Roman"/>
          <w:sz w:val="24"/>
          <w:szCs w:val="24"/>
        </w:rPr>
        <w:t xml:space="preserve">-based classification of </w:t>
      </w:r>
      <w:r w:rsidR="00CB2BBE" w:rsidRPr="002646EE">
        <w:rPr>
          <w:rFonts w:ascii="Times New Roman" w:eastAsia="ArialMT" w:hAnsi="Times New Roman" w:cs="Times New Roman"/>
          <w:i/>
          <w:sz w:val="24"/>
          <w:szCs w:val="24"/>
        </w:rPr>
        <w:t>prameha</w:t>
      </w:r>
      <w:r w:rsidR="00CB2BBE" w:rsidRPr="002646EE">
        <w:rPr>
          <w:rStyle w:val="NormalWebChar"/>
          <w:rFonts w:eastAsia="ArialMT"/>
        </w:rPr>
        <w:t xml:space="preserve"> with its etiology, it’s observed that </w:t>
      </w:r>
      <w:r w:rsidR="00CB2BBE" w:rsidRPr="002646EE">
        <w:rPr>
          <w:rFonts w:ascii="Times New Roman" w:eastAsia="ArialMT" w:hAnsi="Times New Roman" w:cs="Times New Roman"/>
          <w:i/>
          <w:sz w:val="24"/>
          <w:szCs w:val="24"/>
        </w:rPr>
        <w:t>kaphaja</w:t>
      </w:r>
      <w:r w:rsidR="00CB2BBE" w:rsidRPr="002646EE">
        <w:rPr>
          <w:rFonts w:ascii="Times New Roman" w:eastAsia="ArialMT" w:hAnsi="Times New Roman" w:cs="Times New Roman"/>
          <w:sz w:val="24"/>
          <w:szCs w:val="24"/>
        </w:rPr>
        <w:t xml:space="preserve"> and </w:t>
      </w:r>
      <w:r w:rsidR="00CB2BBE" w:rsidRPr="002646EE">
        <w:rPr>
          <w:rFonts w:ascii="Times New Roman" w:eastAsia="ArialMT" w:hAnsi="Times New Roman" w:cs="Times New Roman"/>
          <w:i/>
          <w:sz w:val="24"/>
          <w:szCs w:val="24"/>
        </w:rPr>
        <w:t>pittaja</w:t>
      </w:r>
      <w:r w:rsidR="00CB2BBE" w:rsidRPr="002646EE">
        <w:rPr>
          <w:rFonts w:ascii="Times New Roman" w:eastAsia="ArialMT" w:hAnsi="Times New Roman" w:cs="Times New Roman"/>
          <w:sz w:val="24"/>
          <w:szCs w:val="24"/>
        </w:rPr>
        <w:t xml:space="preserve"> prameha consistently arise as </w:t>
      </w:r>
      <w:r w:rsidR="00CB2BBE" w:rsidRPr="002646EE">
        <w:rPr>
          <w:rFonts w:ascii="Times New Roman" w:eastAsia="ArialMT" w:hAnsi="Times New Roman" w:cs="Times New Roman"/>
          <w:i/>
          <w:iCs/>
          <w:color w:val="000000"/>
          <w:sz w:val="24"/>
          <w:szCs w:val="24"/>
        </w:rPr>
        <w:t>Apathymittaja prameha</w:t>
      </w:r>
      <w:r w:rsidR="00CB2BBE" w:rsidRPr="002646EE">
        <w:rPr>
          <w:rFonts w:ascii="Times New Roman" w:eastAsia="ArialMT" w:hAnsi="Times New Roman" w:cs="Times New Roman"/>
          <w:sz w:val="24"/>
          <w:szCs w:val="24"/>
        </w:rPr>
        <w:t xml:space="preserve"> (acquired),whereas </w:t>
      </w:r>
      <w:r w:rsidR="00CB2BBE" w:rsidRPr="002646EE">
        <w:rPr>
          <w:rFonts w:ascii="Times New Roman" w:eastAsia="ArialMT" w:hAnsi="Times New Roman" w:cs="Times New Roman"/>
          <w:i/>
          <w:sz w:val="24"/>
          <w:szCs w:val="24"/>
        </w:rPr>
        <w:t>vataja prameha</w:t>
      </w:r>
      <w:r w:rsidR="00CB2BBE" w:rsidRPr="002646EE">
        <w:rPr>
          <w:rFonts w:ascii="Times New Roman" w:eastAsia="ArialMT" w:hAnsi="Times New Roman" w:cs="Times New Roman"/>
          <w:sz w:val="24"/>
          <w:szCs w:val="24"/>
        </w:rPr>
        <w:t xml:space="preserve"> can manifest either through hereditary factors or acquired causes</w:t>
      </w:r>
      <w:r w:rsidR="00CB2BBE" w:rsidRPr="002646EE">
        <w:rPr>
          <w:rFonts w:ascii="Times New Roman" w:eastAsia="ArialMT" w:hAnsi="Times New Roman" w:cs="Times New Roman"/>
          <w:sz w:val="24"/>
          <w:szCs w:val="24"/>
        </w:rPr>
        <w:fldChar w:fldCharType="begin"/>
      </w:r>
      <w:r w:rsidR="00CB2BBE" w:rsidRPr="002646EE">
        <w:rPr>
          <w:rFonts w:ascii="Times New Roman" w:eastAsia="ArialMT" w:hAnsi="Times New Roman" w:cs="Times New Roman"/>
          <w:sz w:val="24"/>
          <w:szCs w:val="24"/>
        </w:rPr>
        <w:instrText xml:space="preserve"> ADDIN ZOTERO_ITEM CSL_CITATION {"citationID":"gpdQdKI4","properties":{"formattedCitation":"(Sharma &amp; Chandola, 2011)","plainCitation":"(Sharma &amp; Chandola, 2011)","noteIndex":0},"citationItems":[{"id":167,"uris":["http://zotero.org/users/local/Eg2UsBJR/items/SQQIA3IL"],"itemData":{"id":167,"type":"article-journal","container-title":"The Journal of Alternative and Complementary Medicine","DOI":"10.1089/acm.2010.0396","ISSN":"1075-5535, 1557-7708","issue":"6","journalAbbreviation":"The Journal of Alternative and Complementary Medicine","language":"en","page":"491-496","source":"DOI.org (Crossref)","title":"&lt;i&gt;Prameha&lt;/i&gt; in &lt;i&gt;Ayurveda&lt;/i&gt; : Correlation with Obesity, Metabolic Syndrome, and Diabetes Mellitus. Part 1–Etiology, Classification, and Pathogenesis","title-short":"&lt;i&gt;Prameha&lt;/i&gt; in &lt;i&gt;Ayurveda&lt;/i&gt;","volume":"17","author":[{"family":"Sharma","given":"Hari"},{"family":"Chandola","given":"H.M."}],"issued":{"date-parts":[["2011",6]]}}}],"schema":"https://github.com/citation-style-language/schema/raw/master/csl-citation.json"} </w:instrText>
      </w:r>
      <w:r w:rsidR="00CB2BBE" w:rsidRPr="002646EE">
        <w:rPr>
          <w:rFonts w:ascii="Times New Roman" w:eastAsia="ArialMT" w:hAnsi="Times New Roman" w:cs="Times New Roman"/>
          <w:sz w:val="24"/>
          <w:szCs w:val="24"/>
        </w:rPr>
        <w:fldChar w:fldCharType="separate"/>
      </w:r>
      <w:r w:rsidR="00CB2BBE" w:rsidRPr="002646EE">
        <w:rPr>
          <w:rFonts w:ascii="Times New Roman" w:hAnsi="Times New Roman" w:cs="Times New Roman"/>
          <w:sz w:val="24"/>
          <w:szCs w:val="24"/>
        </w:rPr>
        <w:t>(Sharma &amp; Chandola, 2011)</w:t>
      </w:r>
      <w:r w:rsidR="00CB2BBE" w:rsidRPr="002646EE">
        <w:rPr>
          <w:rFonts w:ascii="Times New Roman" w:eastAsia="ArialMT" w:hAnsi="Times New Roman" w:cs="Times New Roman"/>
          <w:sz w:val="24"/>
          <w:szCs w:val="24"/>
        </w:rPr>
        <w:fldChar w:fldCharType="end"/>
      </w:r>
      <w:r w:rsidR="00CB2BBE"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2D6B34">
      <w:pPr>
        <w:pStyle w:val="Heading2"/>
      </w:pPr>
      <w:bookmarkStart w:id="7" w:name="_Toc171420536"/>
      <w:r w:rsidRPr="002646EE">
        <w:t>1.3 Role of Fatty acids in T2DM development</w:t>
      </w:r>
      <w:bookmarkEnd w:id="7"/>
    </w:p>
    <w:p w:rsidR="00CB2BBE" w:rsidRPr="002646EE" w:rsidRDefault="00CB2BBE" w:rsidP="009B1DD2">
      <w:pPr>
        <w:spacing w:after="0" w:line="360" w:lineRule="auto"/>
        <w:jc w:val="both"/>
        <w:rPr>
          <w:rStyle w:val="NormalWebChar"/>
          <w:rFonts w:eastAsiaTheme="minorHAnsi"/>
        </w:rPr>
      </w:pPr>
      <w:r w:rsidRPr="002646EE">
        <w:rPr>
          <w:rStyle w:val="NormalWebChar"/>
          <w:rFonts w:eastAsiaTheme="minorHAnsi"/>
        </w:rPr>
        <w:t>Regular excessive consumption in energy-dense foods, including those which are  heavy in lipids and sugars, causes increased absorption of nutrients in the intestines</w:t>
      </w:r>
      <w:r w:rsidRPr="002646EE">
        <w:rPr>
          <w:rStyle w:val="match"/>
          <w:rFonts w:ascii="Times New Roman" w:hAnsi="Times New Roman" w:cs="Times New Roman"/>
          <w:color w:val="000000" w:themeColor="text1"/>
          <w:sz w:val="24"/>
          <w:szCs w:val="24"/>
          <w:bdr w:val="none" w:sz="0" w:space="0" w:color="auto" w:frame="1"/>
        </w:rPr>
        <w:t>.</w:t>
      </w:r>
      <w:r w:rsidRPr="002646EE">
        <w:rPr>
          <w:rFonts w:ascii="Times New Roman" w:hAnsi="Times New Roman" w:cs="Times New Roman"/>
          <w:color w:val="000000" w:themeColor="text1"/>
          <w:sz w:val="24"/>
          <w:szCs w:val="24"/>
          <w:shd w:val="clear" w:color="auto" w:fill="FFFFFF"/>
        </w:rPr>
        <w:t xml:space="preserve"> </w:t>
      </w:r>
      <w:r w:rsidRPr="002646EE">
        <w:rPr>
          <w:rStyle w:val="match"/>
          <w:rFonts w:ascii="Times New Roman" w:hAnsi="Times New Roman" w:cs="Times New Roman"/>
          <w:color w:val="000000" w:themeColor="text1"/>
          <w:sz w:val="24"/>
          <w:szCs w:val="24"/>
          <w:bdr w:val="none" w:sz="0" w:space="0" w:color="auto" w:frame="1"/>
        </w:rPr>
        <w:t>Consequently, there is a surplus accumulation of lipids in organs like the liver, adipose tissue, skeletal muscles, and other organs (Wit et al., 2022).</w:t>
      </w:r>
      <w:r w:rsidRPr="002646EE">
        <w:rPr>
          <w:rFonts w:ascii="Times New Roman" w:hAnsi="Times New Roman" w:cs="Times New Roman"/>
          <w:color w:val="000000" w:themeColor="text1"/>
          <w:sz w:val="24"/>
          <w:szCs w:val="24"/>
          <w:shd w:val="clear" w:color="auto" w:fill="FFFFFF"/>
        </w:rPr>
        <w:t xml:space="preserve"> </w:t>
      </w:r>
      <w:r w:rsidRPr="002646EE">
        <w:rPr>
          <w:rStyle w:val="match"/>
          <w:rFonts w:ascii="Times New Roman" w:hAnsi="Times New Roman" w:cs="Times New Roman"/>
          <w:color w:val="000000" w:themeColor="text1"/>
          <w:sz w:val="24"/>
          <w:szCs w:val="24"/>
          <w:bdr w:val="none" w:sz="0" w:space="0" w:color="auto" w:frame="1"/>
        </w:rPr>
        <w:t>A high-caloric western diet, rich in fats and carbohydrates, raises blood glucose levels and increases the circulation of very low-density lipoproteins (VLDL’s), chylomicrons, and their triglyceride-rich remnants.</w:t>
      </w:r>
      <w:r w:rsidRPr="002646EE">
        <w:rPr>
          <w:rFonts w:ascii="Times New Roman" w:hAnsi="Times New Roman" w:cs="Times New Roman"/>
          <w:color w:val="000000" w:themeColor="text1"/>
          <w:sz w:val="24"/>
          <w:szCs w:val="24"/>
          <w:shd w:val="clear" w:color="auto" w:fill="FFFFFF"/>
        </w:rPr>
        <w:t xml:space="preserve"> </w:t>
      </w:r>
      <w:r w:rsidRPr="002646EE">
        <w:rPr>
          <w:rStyle w:val="match"/>
          <w:rFonts w:ascii="Times New Roman" w:hAnsi="Times New Roman" w:cs="Times New Roman"/>
          <w:color w:val="000000" w:themeColor="text1"/>
          <w:sz w:val="24"/>
          <w:szCs w:val="24"/>
          <w:bdr w:val="none" w:sz="0" w:space="0" w:color="auto" w:frame="1"/>
        </w:rPr>
        <w:t>This increases reactive oxygen species (ROS) levels, causing an abnormal production of inflammatory molecules.</w:t>
      </w:r>
      <w:r w:rsidRPr="002646EE">
        <w:rPr>
          <w:rFonts w:ascii="Times New Roman" w:hAnsi="Times New Roman" w:cs="Times New Roman"/>
          <w:color w:val="000000" w:themeColor="text1"/>
          <w:sz w:val="24"/>
          <w:szCs w:val="24"/>
          <w:shd w:val="clear" w:color="auto" w:fill="FFFFFF"/>
        </w:rPr>
        <w:t xml:space="preserve"> </w:t>
      </w:r>
      <w:r w:rsidRPr="002646EE">
        <w:rPr>
          <w:rStyle w:val="match"/>
          <w:rFonts w:ascii="Times New Roman" w:hAnsi="Times New Roman" w:cs="Times New Roman"/>
          <w:color w:val="000000" w:themeColor="text1"/>
          <w:sz w:val="24"/>
          <w:szCs w:val="24"/>
          <w:bdr w:val="none" w:sz="0" w:space="0" w:color="auto" w:frame="1"/>
        </w:rPr>
        <w:t>This heightened inflammation, induce oxidative stress, creates a synergistic interaction between the two processes, amplifying the harmful effects after eating (Galicia-Garcia et al., 2020)</w:t>
      </w:r>
      <w:r w:rsidRPr="002646EE">
        <w:rPr>
          <w:rFonts w:ascii="Times New Roman" w:eastAsia="ArialMT" w:hAnsi="Times New Roman" w:cs="Times New Roman"/>
          <w:color w:val="000000" w:themeColor="text1"/>
          <w:sz w:val="24"/>
          <w:szCs w:val="24"/>
        </w:rPr>
        <w:t>.</w:t>
      </w:r>
    </w:p>
    <w:p w:rsidR="00CB2BBE" w:rsidRPr="002646EE" w:rsidRDefault="00182AAF"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Style w:val="NormalWebChar"/>
          <w:rFonts w:eastAsiaTheme="minorHAnsi"/>
        </w:rPr>
        <w:t>Persistent elevation in ROS levels plays a crucial role in the onset of type 2 diabetes mellitus (T2DM) and IR</w:t>
      </w:r>
      <w:r w:rsidRPr="002646EE">
        <w:rPr>
          <w:rFonts w:ascii="Times New Roman" w:hAnsi="Times New Roman" w:cs="Times New Roman"/>
          <w:sz w:val="24"/>
          <w:szCs w:val="24"/>
        </w:rPr>
        <w:t>.</w:t>
      </w:r>
      <w:r w:rsidR="00CB2BBE" w:rsidRPr="002646EE">
        <w:rPr>
          <w:rFonts w:ascii="Times New Roman" w:eastAsia="ArialMT" w:hAnsi="Times New Roman" w:cs="Times New Roman"/>
          <w:color w:val="000000" w:themeColor="text1"/>
          <w:sz w:val="24"/>
          <w:szCs w:val="24"/>
        </w:rPr>
        <w:t xml:space="preserve">Consequently pro-oxidant  setting results in dysfunction of mitochondria, endoplasmic reticulum (ER) stress, and the activation of NADPH oxidase(NOX), leading to the production of superoxide. The surge in superoxide production triggers the activation of the five primary pathways implicated in the development of complications associated with diabetes. </w:t>
      </w:r>
      <w:r w:rsidRPr="002646EE">
        <w:rPr>
          <w:rStyle w:val="NormalWebChar"/>
          <w:rFonts w:eastAsiaTheme="minorHAnsi"/>
        </w:rPr>
        <w:t xml:space="preserve">The polyol pathway becomes more active, resulting in increased production of </w:t>
      </w:r>
      <w:r w:rsidRPr="002646EE">
        <w:rPr>
          <w:rStyle w:val="NormalWebChar"/>
          <w:rFonts w:eastAsiaTheme="minorHAnsi"/>
        </w:rPr>
        <w:lastRenderedPageBreak/>
        <w:t>advanced glycation end products (AGEs), higher expression of the AGEs receptor and its activating ligands, and the activation of different isoforms</w:t>
      </w:r>
      <w:r w:rsidRPr="002646EE">
        <w:rPr>
          <w:rFonts w:ascii="Times New Roman" w:hAnsi="Times New Roman" w:cs="Times New Roman"/>
          <w:sz w:val="24"/>
          <w:szCs w:val="24"/>
        </w:rPr>
        <w:t xml:space="preserve"> </w:t>
      </w:r>
      <w:r w:rsidR="00CB2BBE" w:rsidRPr="002646EE">
        <w:rPr>
          <w:rFonts w:ascii="Times New Roman" w:eastAsia="ArialMT" w:hAnsi="Times New Roman" w:cs="Times New Roman"/>
          <w:color w:val="000000" w:themeColor="text1"/>
          <w:sz w:val="24"/>
          <w:szCs w:val="24"/>
        </w:rPr>
        <w:t xml:space="preserve"> of protein kinase C (PKC), and excessive activity within the hexosamine pathway </w:t>
      </w:r>
      <w:r w:rsidR="00CB2BBE" w:rsidRPr="002646EE">
        <w:rPr>
          <w:rFonts w:ascii="Times New Roman" w:eastAsia="ArialMT" w:hAnsi="Times New Roman" w:cs="Times New Roman"/>
          <w:color w:val="000000" w:themeColor="text1"/>
          <w:sz w:val="24"/>
          <w:szCs w:val="24"/>
        </w:rPr>
        <w:fldChar w:fldCharType="begin"/>
      </w:r>
      <w:r w:rsidR="00CB2BBE" w:rsidRPr="002646EE">
        <w:rPr>
          <w:rFonts w:ascii="Times New Roman" w:eastAsia="ArialMT" w:hAnsi="Times New Roman" w:cs="Times New Roman"/>
          <w:color w:val="000000" w:themeColor="text1"/>
          <w:sz w:val="24"/>
          <w:szCs w:val="24"/>
        </w:rPr>
        <w:instrText xml:space="preserve"> ADDIN ZOTERO_ITEM CSL_CITATION {"citationID":"aBw1n6wU","properties":{"formattedCitation":"(Dali-Youcef et al., 2013)","plainCitation":"(Dali-Youcef et al., 2013)","noteIndex":0},"citationItems":[{"id":179,"uris":["http://zotero.org/users/local/Eg2UsBJR/items/AXDRMVTI"],"itemData":{"id":179,"type":"article-journal","container-title":"Annals of Medicine","DOI":"10.3109/07853890.2012.705015","ISSN":"0785-3890, 1365-2060","issue":"3","journalAbbreviation":"Annals of Medicine","language":"en","page":"242-253","source":"DOI.org (Crossref)","title":"Metabolic inflammation: Connecting obesity and insulin resistance","title-short":"Metabolic inflammation","volume":"45","author":[{"family":"Dali-Youcef","given":"Nassim"},{"family":"Mecili","given":"Mustapha"},{"family":"Ricci","given":"Roméo"},{"family":"Andrès","given":"Emmanuel"}],"issued":{"date-parts":[["2013",5]]}}}],"schema":"https://github.com/citation-style-language/schema/raw/master/csl-citation.json"} </w:instrText>
      </w:r>
      <w:r w:rsidR="00CB2BBE" w:rsidRPr="002646EE">
        <w:rPr>
          <w:rFonts w:ascii="Times New Roman" w:eastAsia="ArialMT" w:hAnsi="Times New Roman" w:cs="Times New Roman"/>
          <w:color w:val="000000" w:themeColor="text1"/>
          <w:sz w:val="24"/>
          <w:szCs w:val="24"/>
        </w:rPr>
        <w:fldChar w:fldCharType="separate"/>
      </w:r>
      <w:r w:rsidR="00CB2BBE" w:rsidRPr="002646EE">
        <w:rPr>
          <w:rFonts w:ascii="Times New Roman" w:hAnsi="Times New Roman" w:cs="Times New Roman"/>
          <w:color w:val="000000" w:themeColor="text1"/>
          <w:sz w:val="24"/>
          <w:szCs w:val="24"/>
        </w:rPr>
        <w:t>(Dali-Youcef et al., 2013)</w:t>
      </w:r>
      <w:r w:rsidR="00CB2BBE" w:rsidRPr="002646EE">
        <w:rPr>
          <w:rFonts w:ascii="Times New Roman" w:eastAsia="ArialMT" w:hAnsi="Times New Roman" w:cs="Times New Roman"/>
          <w:color w:val="000000" w:themeColor="text1"/>
          <w:sz w:val="24"/>
          <w:szCs w:val="24"/>
        </w:rPr>
        <w:fldChar w:fldCharType="end"/>
      </w:r>
      <w:r w:rsidR="00CB2BBE" w:rsidRPr="002646EE">
        <w:rPr>
          <w:rFonts w:ascii="Times New Roman" w:eastAsia="ArialMT" w:hAnsi="Times New Roman" w:cs="Times New Roman"/>
          <w:color w:val="000000" w:themeColor="text1"/>
          <w:sz w:val="24"/>
          <w:szCs w:val="24"/>
        </w:rPr>
        <w:t xml:space="preserve">  </w:t>
      </w:r>
      <w:r w:rsidR="00CB2BBE" w:rsidRPr="002646EE">
        <w:rPr>
          <w:rFonts w:ascii="Times New Roman" w:eastAsia="ArialMT" w:hAnsi="Times New Roman" w:cs="Times New Roman"/>
          <w:color w:val="000000" w:themeColor="text1"/>
          <w:sz w:val="24"/>
          <w:szCs w:val="24"/>
        </w:rPr>
        <w:fldChar w:fldCharType="begin"/>
      </w:r>
      <w:r w:rsidR="00CB2BBE" w:rsidRPr="002646EE">
        <w:rPr>
          <w:rFonts w:ascii="Times New Roman" w:eastAsia="ArialMT" w:hAnsi="Times New Roman" w:cs="Times New Roman"/>
          <w:color w:val="000000" w:themeColor="text1"/>
          <w:sz w:val="24"/>
          <w:szCs w:val="24"/>
        </w:rPr>
        <w:instrText xml:space="preserve"> ADDIN ZOTERO_ITEM CSL_CITATION {"citationID":"XeQsFEzn","properties":{"formattedCitation":"(Hummasti &amp; Hotamisligil, 2010)","plainCitation":"(Hummasti &amp; Hotamisligil, 2010)","noteIndex":0},"citationItems":[{"id":180,"uris":["http://zotero.org/users/local/Eg2UsBJR/items/XDU2QSQ7"],"itemData":{"id":180,"type":"article-journal","abstract":"Abstract:\n              \n              Obesity is a major problem worldwide that increases risk for a wide range of diseases, including diabetes and heart disease. As such, it is increasingly important to understand how excess adiposity can perturb normal metabolic functions. It is now clear that this disruption involves not only pathways controlling lipid and glucose homeostasis but also integration of metabolic and immune response pathways. Under conditions of nutritional excess, this integration can result in a metabolically driven, low-grade, chronic inflammatory state, referred to as “metaflammation,” that targets metabolically critical organs and tissues to adversely affect systemic homeostasis. Endoplasmic reticulum dysfunction is another important feature of chronic metabolic disease that is also linked to both metabolic and immune regulation. A thorough understanding of how these pathways intersect to maintain metabolic homeostasis, as well as how this integration is altered under conditions of nutrient excess, is important to fully understand, and subsequently treat, chronic metabolic diseases.","container-title":"Circulation Research","DOI":"10.1161/CIRCRESAHA.110.225698","ISSN":"0009-7330, 1524-4571","issue":"5","journalAbbreviation":"Circulation Research","language":"en","page":"579-591","source":"DOI.org (Crossref)","title":"Endoplasmic Reticulum Stress and Inflammation in Obesity and Diabetes","volume":"107","author":[{"family":"Hummasti","given":"Sarah"},{"family":"Hotamisligil","given":"Gökhan S."}],"issued":{"date-parts":[["2010",9,3]]}}}],"schema":"https://github.com/citation-style-language/schema/raw/master/csl-citation.json"} </w:instrText>
      </w:r>
      <w:r w:rsidR="00CB2BBE" w:rsidRPr="002646EE">
        <w:rPr>
          <w:rFonts w:ascii="Times New Roman" w:eastAsia="ArialMT" w:hAnsi="Times New Roman" w:cs="Times New Roman"/>
          <w:color w:val="000000" w:themeColor="text1"/>
          <w:sz w:val="24"/>
          <w:szCs w:val="24"/>
        </w:rPr>
        <w:fldChar w:fldCharType="separate"/>
      </w:r>
      <w:r w:rsidR="00CB2BBE" w:rsidRPr="002646EE">
        <w:rPr>
          <w:rFonts w:ascii="Times New Roman" w:hAnsi="Times New Roman" w:cs="Times New Roman"/>
          <w:color w:val="000000" w:themeColor="text1"/>
          <w:sz w:val="24"/>
          <w:szCs w:val="24"/>
        </w:rPr>
        <w:t>(Hummasti &amp; Hotamisligil, 2010)</w:t>
      </w:r>
      <w:r w:rsidR="00CB2BBE" w:rsidRPr="002646EE">
        <w:rPr>
          <w:rFonts w:ascii="Times New Roman" w:eastAsia="ArialMT" w:hAnsi="Times New Roman" w:cs="Times New Roman"/>
          <w:color w:val="000000" w:themeColor="text1"/>
          <w:sz w:val="24"/>
          <w:szCs w:val="24"/>
        </w:rPr>
        <w:fldChar w:fldCharType="end"/>
      </w:r>
      <w:r w:rsidR="00CB2BBE" w:rsidRPr="002646EE">
        <w:rPr>
          <w:rFonts w:ascii="Times New Roman" w:eastAsia="ArialMT" w:hAnsi="Times New Roman" w:cs="Times New Roman"/>
          <w:color w:val="000000" w:themeColor="text1"/>
          <w:sz w:val="24"/>
          <w:szCs w:val="24"/>
        </w:rPr>
        <w:t xml:space="preserve">  </w:t>
      </w:r>
      <w:r w:rsidR="00CB2BBE" w:rsidRPr="002646EE">
        <w:rPr>
          <w:rFonts w:ascii="Times New Roman" w:eastAsia="ArialMT" w:hAnsi="Times New Roman" w:cs="Times New Roman"/>
          <w:color w:val="000000" w:themeColor="text1"/>
          <w:sz w:val="24"/>
          <w:szCs w:val="24"/>
        </w:rPr>
        <w:fldChar w:fldCharType="begin"/>
      </w:r>
      <w:r w:rsidR="00CB2BBE" w:rsidRPr="002646EE">
        <w:rPr>
          <w:rFonts w:ascii="Times New Roman" w:eastAsia="ArialMT" w:hAnsi="Times New Roman" w:cs="Times New Roman"/>
          <w:color w:val="000000" w:themeColor="text1"/>
          <w:sz w:val="24"/>
          <w:szCs w:val="24"/>
        </w:rPr>
        <w:instrText xml:space="preserve"> ADDIN ZOTERO_ITEM CSL_CITATION {"citationID":"tr7wq9wD","properties":{"formattedCitation":"(Roca-Rivada et al., 2013)","plainCitation":"(Roca-Rivada et al., 2013)","noteIndex":0},"citationItems":[{"id":182,"uris":["http://zotero.org/users/local/Eg2UsBJR/items/8YVJE6A6"],"itemData":{"id":182,"type":"article-journal","container-title":"PLoS ONE","DOI":"10.1371/journal.pone.0060563","ISSN":"1932-6203","issue":"4","journalAbbreviation":"PLoS ONE","language":"en","page":"e60563","source":"DOI.org (Crossref)","title":"FNDC5/Irisin Is Not Only a Myokine but Also an Adipokine","volume":"8","author":[{"family":"Roca-Rivada","given":"Arturo"},{"family":"Castelao","given":"Cecilia"},{"family":"Senin","given":"Lucía L."},{"family":"Landrove","given":"María O."},{"family":"Baltar","given":"Javier"},{"family":"Crujeiras","given":"Ana Belén"},{"family":"Seoane","given":"Luisa María"},{"family":"Casanueva","given":"Felipe F."},{"family":"Pardo","given":"María"}],"editor":[{"family":"Luque","given":"Raul M."}],"issued":{"date-parts":[["2013",4,11]]}}}],"schema":"https://github.com/citation-style-language/schema/raw/master/csl-citation.json"} </w:instrText>
      </w:r>
      <w:r w:rsidR="00CB2BBE" w:rsidRPr="002646EE">
        <w:rPr>
          <w:rFonts w:ascii="Times New Roman" w:eastAsia="ArialMT" w:hAnsi="Times New Roman" w:cs="Times New Roman"/>
          <w:color w:val="000000" w:themeColor="text1"/>
          <w:sz w:val="24"/>
          <w:szCs w:val="24"/>
        </w:rPr>
        <w:fldChar w:fldCharType="separate"/>
      </w:r>
      <w:r w:rsidR="00CB2BBE" w:rsidRPr="002646EE">
        <w:rPr>
          <w:rFonts w:ascii="Times New Roman" w:hAnsi="Times New Roman" w:cs="Times New Roman"/>
          <w:color w:val="000000" w:themeColor="text1"/>
          <w:sz w:val="24"/>
          <w:szCs w:val="24"/>
        </w:rPr>
        <w:t>(Roca-Rivada et al., 2013)</w:t>
      </w:r>
      <w:r w:rsidR="00CB2BBE" w:rsidRPr="002646EE">
        <w:rPr>
          <w:rFonts w:ascii="Times New Roman" w:eastAsia="ArialMT" w:hAnsi="Times New Roman" w:cs="Times New Roman"/>
          <w:color w:val="000000" w:themeColor="text1"/>
          <w:sz w:val="24"/>
          <w:szCs w:val="24"/>
        </w:rPr>
        <w:fldChar w:fldCharType="end"/>
      </w:r>
      <w:r w:rsidR="00CB2BBE" w:rsidRPr="002646EE">
        <w:rPr>
          <w:rFonts w:ascii="Times New Roman" w:eastAsia="ArialMT" w:hAnsi="Times New Roman" w:cs="Times New Roman"/>
          <w:color w:val="000000" w:themeColor="text1"/>
          <w:sz w:val="24"/>
          <w:szCs w:val="24"/>
        </w:rPr>
        <w:t xml:space="preserve">.Via these pathways heightened intracellular ROS levels induce faulty angiogenesis in reaction to ischemia, trigger several proinflammatory pathways, and instigate enduring epigenetic alterations that sustain the continuous expression of proinflammatory genes even post normalization of glycaemia </w:t>
      </w:r>
      <w:r w:rsidR="00CB2BBE" w:rsidRPr="002646EE">
        <w:rPr>
          <w:rFonts w:ascii="Times New Roman" w:eastAsia="ArialMT" w:hAnsi="Times New Roman" w:cs="Times New Roman"/>
          <w:color w:val="000000" w:themeColor="text1"/>
          <w:sz w:val="24"/>
          <w:szCs w:val="24"/>
        </w:rPr>
        <w:fldChar w:fldCharType="begin"/>
      </w:r>
      <w:r w:rsidR="00CB2BBE" w:rsidRPr="002646EE">
        <w:rPr>
          <w:rFonts w:ascii="Times New Roman" w:eastAsia="ArialMT" w:hAnsi="Times New Roman" w:cs="Times New Roman"/>
          <w:color w:val="000000" w:themeColor="text1"/>
          <w:sz w:val="24"/>
          <w:szCs w:val="24"/>
        </w:rPr>
        <w:instrText xml:space="preserve"> ADDIN ZOTERO_ITEM CSL_CITATION {"citationID":"Vdn7MLz4","properties":{"formattedCitation":"(Giacco &amp; Brownlee, 2010)","plainCitation":"(Giacco &amp; Brownlee, 2010)","noteIndex":0},"citationItems":[{"id":184,"uris":["http://zotero.org/users/local/Eg2UsBJR/items/GG47YF35"],"itemData":{"id":184,"type":"article-journal","abstract":"Oxidative stress plays a pivotal role in the development of diabetes complications, both microvascular and cardiovascular. The metabolic abnormalities of diabetes cause mitochondrial superoxide overproduction in endothelial cells of both large and small vessels, as well as in the myocardium. This increased superoxide production causes the activation of 5 major pathways involved in the pathogenesis of complications: polyol pathway flux, increased formation of AGEs (advanced glycation end products), increased expression of the receptor for AGEs and its activating ligands, activation of protein kinase C isoforms, and overactivity of the hexosamine pathway. It also directly inactivates 2 critical antiatherosclerotic enzymes, endothelial nitric oxide synthase and prostacyclin synthase. Through these pathways, increased intracellular reactive oxygen species (ROS) cause defective angiogenesis in response to ischemia, activate a number of proinflammatory pathways, and cause long-lasting epigenetic changes that drive persistent expression of proinflammatory genes after glycemia is normalized (“hyperglycemic memory”). Atherosclerosis and cardiomyopathy in type 2 diabetes are caused in part by pathway-selective insulin resistance, which increases mitochondrial ROS production from free fatty acids and by inactivation of antiatherosclerosis enzymes by ROS. Overexpression of superoxide dismutase in transgenic diabetic mice prevents diabetic retinopathy, nephropathy, and cardiomyopathy. The aim of this review is to highlight advances in understanding the role of metabolite-generated ROS in the development of diabetic complications.","container-title":"Circulation Research","DOI":"10.1161/CIRCRESAHA.110.223545","ISSN":"0009-7330, 1524-4571","issue":"9","journalAbbreviation":"Circulation Research","language":"en","page":"1058-1070","source":"DOI.org (Crossref)","title":"Oxidative Stress and Diabetic Complications","volume":"107","author":[{"family":"Giacco","given":"Ferdinando"},{"family":"Brownlee","given":"Michael"}],"editor":[{"family":"Schmidt","given":"Ann Marie"}],"issued":{"date-parts":[["2010",10,29]]}}}],"schema":"https://github.com/citation-style-language/schema/raw/master/csl-citation.json"} </w:instrText>
      </w:r>
      <w:r w:rsidR="00CB2BBE" w:rsidRPr="002646EE">
        <w:rPr>
          <w:rFonts w:ascii="Times New Roman" w:eastAsia="ArialMT" w:hAnsi="Times New Roman" w:cs="Times New Roman"/>
          <w:color w:val="000000" w:themeColor="text1"/>
          <w:sz w:val="24"/>
          <w:szCs w:val="24"/>
        </w:rPr>
        <w:fldChar w:fldCharType="separate"/>
      </w:r>
      <w:r w:rsidR="00CB2BBE" w:rsidRPr="002646EE">
        <w:rPr>
          <w:rFonts w:ascii="Times New Roman" w:hAnsi="Times New Roman" w:cs="Times New Roman"/>
          <w:color w:val="000000" w:themeColor="text1"/>
          <w:sz w:val="24"/>
          <w:szCs w:val="24"/>
        </w:rPr>
        <w:t>(Giacco &amp; Brownlee, 2010)</w:t>
      </w:r>
      <w:r w:rsidR="00CB2BBE" w:rsidRPr="002646EE">
        <w:rPr>
          <w:rFonts w:ascii="Times New Roman" w:eastAsia="ArialMT" w:hAnsi="Times New Roman" w:cs="Times New Roman"/>
          <w:color w:val="000000" w:themeColor="text1"/>
          <w:sz w:val="24"/>
          <w:szCs w:val="24"/>
        </w:rPr>
        <w:fldChar w:fldCharType="end"/>
      </w:r>
      <w:r w:rsidR="00CB2BBE" w:rsidRPr="002646EE">
        <w:rPr>
          <w:rFonts w:ascii="Times New Roman" w:eastAsia="ArialMT" w:hAnsi="Times New Roman" w:cs="Times New Roman"/>
          <w:color w:val="000000" w:themeColor="text1"/>
          <w:sz w:val="24"/>
          <w:szCs w:val="24"/>
        </w:rPr>
        <w:t xml:space="preserve">.Moreover, elevated blood levels of FFA’s cause mitochondrial dysfunction through two distinct mechanisms: firstly, byproducts of FFA metabolism disrupt electron flow in the mitochondrial respiratory chain. Secondly, FFA’s are incorporated into mitochondrial membranes, potentially promoting electron leakage </w:t>
      </w:r>
      <w:r w:rsidR="00CB2BBE" w:rsidRPr="002646EE">
        <w:rPr>
          <w:rFonts w:ascii="Times New Roman" w:eastAsia="ArialMT" w:hAnsi="Times New Roman" w:cs="Times New Roman"/>
          <w:color w:val="000000" w:themeColor="text1"/>
          <w:sz w:val="24"/>
          <w:szCs w:val="24"/>
        </w:rPr>
        <w:fldChar w:fldCharType="begin"/>
      </w:r>
      <w:r w:rsidR="00CB2BBE" w:rsidRPr="002646EE">
        <w:rPr>
          <w:rFonts w:ascii="Times New Roman" w:eastAsia="ArialMT" w:hAnsi="Times New Roman" w:cs="Times New Roman"/>
          <w:color w:val="000000" w:themeColor="text1"/>
          <w:sz w:val="24"/>
          <w:szCs w:val="24"/>
        </w:rPr>
        <w:instrText xml:space="preserve"> ADDIN ZOTERO_ITEM CSL_CITATION {"citationID":"sK0p0Pvk","properties":{"formattedCitation":"(Graciano et al., 2011)","plainCitation":"(Graciano et al., 2011)","noteIndex":0},"citationItems":[{"id":186,"uris":["http://zotero.org/users/local/Eg2UsBJR/items/7S8SUEVG"],"itemData":{"id":186,"type":"article-journal","container-title":"Islets","DOI":"10.4161/isl.3.5.15935","ISSN":"1938-2014, 1938-2022","issue":"5","journalAbbreviation":"Islets","language":"en","page":"213-223","source":"DOI.org (Crossref)","title":"Regulation of insulin secretion and reactive oxygen species production by free fatty acids in pancreatic islets","volume":"3","author":[{"family":"Graciano","given":"Maria Fernanda"},{"family":"Valle","given":"Maíra"},{"family":"Kowluru","given":"Anjaneyulu"},{"family":"Curi","given":"Rui"},{"family":"Carpinelli","given":"Angelo"}],"issued":{"date-parts":[["2011",9]]}}}],"schema":"https://github.com/citation-style-language/schema/raw/master/csl-citation.json"} </w:instrText>
      </w:r>
      <w:r w:rsidR="00CB2BBE" w:rsidRPr="002646EE">
        <w:rPr>
          <w:rFonts w:ascii="Times New Roman" w:eastAsia="ArialMT" w:hAnsi="Times New Roman" w:cs="Times New Roman"/>
          <w:color w:val="000000" w:themeColor="text1"/>
          <w:sz w:val="24"/>
          <w:szCs w:val="24"/>
        </w:rPr>
        <w:fldChar w:fldCharType="separate"/>
      </w:r>
      <w:r w:rsidR="00CB2BBE" w:rsidRPr="002646EE">
        <w:rPr>
          <w:rFonts w:ascii="Times New Roman" w:hAnsi="Times New Roman" w:cs="Times New Roman"/>
          <w:color w:val="000000" w:themeColor="text1"/>
          <w:sz w:val="24"/>
          <w:szCs w:val="24"/>
        </w:rPr>
        <w:t>(Graciano et al., 2011)</w:t>
      </w:r>
      <w:r w:rsidR="00CB2BBE" w:rsidRPr="002646EE">
        <w:rPr>
          <w:rFonts w:ascii="Times New Roman" w:eastAsia="ArialMT" w:hAnsi="Times New Roman" w:cs="Times New Roman"/>
          <w:color w:val="000000" w:themeColor="text1"/>
          <w:sz w:val="24"/>
          <w:szCs w:val="24"/>
        </w:rPr>
        <w:fldChar w:fldCharType="end"/>
      </w:r>
      <w:r w:rsidR="00CB2BBE" w:rsidRPr="002646EE">
        <w:rPr>
          <w:rFonts w:ascii="Times New Roman" w:eastAsia="ArialMT" w:hAnsi="Times New Roman" w:cs="Times New Roman"/>
          <w:color w:val="000000" w:themeColor="text1"/>
          <w:sz w:val="24"/>
          <w:szCs w:val="24"/>
        </w:rPr>
        <w:t xml:space="preserve">. </w:t>
      </w:r>
    </w:p>
    <w:p w:rsidR="00CB2BBE" w:rsidRPr="002646EE" w:rsidRDefault="00CB2BBE" w:rsidP="009B1DD2">
      <w:pPr>
        <w:spacing w:line="360" w:lineRule="auto"/>
        <w:jc w:val="both"/>
        <w:rPr>
          <w:rStyle w:val="NormalWebChar"/>
          <w:rFonts w:eastAsiaTheme="minorHAnsi"/>
        </w:rPr>
      </w:pPr>
      <w:r w:rsidRPr="002646EE">
        <w:rPr>
          <w:rStyle w:val="match"/>
          <w:rFonts w:ascii="Times New Roman" w:hAnsi="Times New Roman" w:cs="Times New Roman"/>
          <w:color w:val="000000" w:themeColor="text1"/>
          <w:sz w:val="24"/>
          <w:szCs w:val="24"/>
          <w:bdr w:val="none" w:sz="0" w:space="0" w:color="auto" w:frame="1"/>
        </w:rPr>
        <w:t>In recent years, studies have highlighted that prolonged elevation of circulating FFAs can disrupt gut homeostasis and lead to dysfunction in the intestinal epithelium.</w:t>
      </w:r>
      <w:r w:rsidRPr="002646EE">
        <w:rPr>
          <w:rFonts w:ascii="Times New Roman" w:hAnsi="Times New Roman" w:cs="Times New Roman"/>
          <w:color w:val="000000" w:themeColor="text1"/>
          <w:sz w:val="24"/>
          <w:szCs w:val="24"/>
          <w:shd w:val="clear" w:color="auto" w:fill="FFFFFF"/>
        </w:rPr>
        <w:t xml:space="preserve"> </w:t>
      </w:r>
      <w:r w:rsidRPr="002646EE">
        <w:rPr>
          <w:rStyle w:val="match"/>
          <w:rFonts w:ascii="Times New Roman" w:hAnsi="Times New Roman" w:cs="Times New Roman"/>
          <w:color w:val="000000" w:themeColor="text1"/>
          <w:sz w:val="24"/>
          <w:szCs w:val="24"/>
          <w:bdr w:val="none" w:sz="0" w:space="0" w:color="auto" w:frame="1"/>
        </w:rPr>
        <w:t>Maintaining a healthy intestinal function is crucial for preventing and treating various metabolic disorders caused by long-term high levels of lipids in the blood (Holst, 2013).</w:t>
      </w:r>
      <w:r w:rsidRPr="002646EE">
        <w:rPr>
          <w:rFonts w:ascii="Times New Roman" w:hAnsi="Times New Roman" w:cs="Times New Roman"/>
          <w:color w:val="000000" w:themeColor="text1"/>
          <w:sz w:val="24"/>
          <w:szCs w:val="24"/>
          <w:shd w:val="clear" w:color="auto" w:fill="FFFFFF"/>
        </w:rPr>
        <w:t xml:space="preserve"> </w:t>
      </w:r>
      <w:r w:rsidRPr="002646EE">
        <w:rPr>
          <w:rStyle w:val="match"/>
          <w:rFonts w:ascii="Times New Roman" w:hAnsi="Times New Roman" w:cs="Times New Roman"/>
          <w:color w:val="000000" w:themeColor="text1"/>
          <w:sz w:val="24"/>
          <w:szCs w:val="24"/>
          <w:bdr w:val="none" w:sz="0" w:space="0" w:color="auto" w:frame="1"/>
        </w:rPr>
        <w:t>It is known that metabolic diseases are linked to problems in intestinal cells.</w:t>
      </w:r>
      <w:r w:rsidRPr="002646EE">
        <w:rPr>
          <w:rFonts w:ascii="Times New Roman" w:hAnsi="Times New Roman" w:cs="Times New Roman"/>
          <w:color w:val="000000" w:themeColor="text1"/>
          <w:sz w:val="24"/>
          <w:szCs w:val="24"/>
          <w:shd w:val="clear" w:color="auto" w:fill="FFFFFF"/>
        </w:rPr>
        <w:t xml:space="preserve"> </w:t>
      </w:r>
      <w:r w:rsidRPr="002646EE">
        <w:rPr>
          <w:rStyle w:val="match"/>
          <w:rFonts w:ascii="Times New Roman" w:hAnsi="Times New Roman" w:cs="Times New Roman"/>
          <w:color w:val="000000" w:themeColor="text1"/>
          <w:sz w:val="24"/>
          <w:szCs w:val="24"/>
          <w:bdr w:val="none" w:sz="0" w:space="0" w:color="auto" w:frame="1"/>
        </w:rPr>
        <w:t>Understanding the exact molecular connections is challenging due to the absence of a suitable model for studying obesity in the intestine (Filippello et al., 2022).</w:t>
      </w:r>
      <w:r w:rsidRPr="002646EE">
        <w:rPr>
          <w:rFonts w:ascii="Times New Roman" w:hAnsi="Times New Roman" w:cs="Times New Roman"/>
          <w:color w:val="000000" w:themeColor="text1"/>
          <w:sz w:val="24"/>
          <w:szCs w:val="24"/>
          <w:shd w:val="clear" w:color="auto" w:fill="FFFFFF"/>
        </w:rPr>
        <w:t xml:space="preserve"> </w:t>
      </w:r>
      <w:r w:rsidRPr="002646EE">
        <w:rPr>
          <w:rStyle w:val="NormalWebChar"/>
          <w:rFonts w:eastAsiaTheme="minorHAnsi"/>
        </w:rPr>
        <w:t>Obesity is believed to lead to insulin resistance, leading to T2DM.</w:t>
      </w:r>
    </w:p>
    <w:p w:rsidR="00CB2BBE" w:rsidRPr="002646EE" w:rsidRDefault="00A05AF4" w:rsidP="00CB2BBE">
      <w:pPr>
        <w:autoSpaceDE w:val="0"/>
        <w:autoSpaceDN w:val="0"/>
        <w:adjustRightInd w:val="0"/>
        <w:spacing w:after="0" w:line="360" w:lineRule="auto"/>
        <w:jc w:val="both"/>
        <w:rPr>
          <w:rFonts w:ascii="Times New Roman" w:hAnsi="Times New Roman" w:cs="Times New Roman"/>
          <w:color w:val="333333"/>
          <w:sz w:val="24"/>
          <w:szCs w:val="24"/>
          <w:shd w:val="clear" w:color="auto" w:fill="FFFFFF"/>
        </w:rPr>
      </w:pPr>
      <w:r w:rsidRPr="002646EE">
        <w:rPr>
          <w:rStyle w:val="NormalWebChar"/>
          <w:rFonts w:eastAsiaTheme="minorHAnsi"/>
        </w:rPr>
        <w:t>The action of lipase involves breaking down dietary fats into free fatty acids and monoglycerides, which are subsequently absorbed and stored within the body</w:t>
      </w:r>
      <w:r w:rsidR="00CB2BBE" w:rsidRPr="002646EE">
        <w:rPr>
          <w:rStyle w:val="NormalWebChar"/>
          <w:rFonts w:eastAsiaTheme="minorHAnsi"/>
        </w:rPr>
        <w:t xml:space="preserve">. High levels of lipase activity can lead to increased absorption and storage of fats, contributing to obesity. Obesity, particularly visceral fat accumulation, is a major risk factor for insulin resistance, a key feature of type 2 diabetes. Excess fat tissue, especially in the abdominal area, releases fatty acids and inflammatory cytokines that interfere with insulin signaling, leading to insulin resistance </w:t>
      </w:r>
      <w:r w:rsidR="00CB2BBE" w:rsidRPr="002646EE">
        <w:rPr>
          <w:rFonts w:ascii="Times New Roman" w:hAnsi="Times New Roman" w:cs="Times New Roman"/>
          <w:sz w:val="24"/>
          <w:szCs w:val="24"/>
        </w:rPr>
        <w:fldChar w:fldCharType="begin"/>
      </w:r>
      <w:r w:rsidR="00CB2BBE" w:rsidRPr="002646EE">
        <w:rPr>
          <w:rFonts w:ascii="Times New Roman" w:hAnsi="Times New Roman" w:cs="Times New Roman"/>
          <w:sz w:val="24"/>
          <w:szCs w:val="24"/>
        </w:rPr>
        <w:instrText xml:space="preserve"> ADDIN ZOTERO_ITEM CSL_CITATION {"citationID":"zcsaN10f","properties":{"formattedCitation":"(Marsha J. Daniel, 2011)","plainCitation":"(Marsha J. Daniel, 2011)","noteIndex":0},"citationItems":[{"id":315,"uris":["http://zotero.org/users/local/Eg2UsBJR/items/B8LVYVA4"],"itemData":{"id":315,"type":"article-journal","page":"page 321","title":"Lipid Management in Patients with Type 2 Diabetes","author":[{"family":"Marsha J. Daniel,","given":""}],"issued":{"date-parts":[["2011"]]}}}],"schema":"https://github.com/citation-style-language/schema/raw/master/csl-citation.json"} </w:instrText>
      </w:r>
      <w:r w:rsidR="00CB2BBE" w:rsidRPr="002646EE">
        <w:rPr>
          <w:rFonts w:ascii="Times New Roman" w:hAnsi="Times New Roman" w:cs="Times New Roman"/>
          <w:sz w:val="24"/>
          <w:szCs w:val="24"/>
        </w:rPr>
        <w:fldChar w:fldCharType="separate"/>
      </w:r>
      <w:r w:rsidR="00CB2BBE" w:rsidRPr="002646EE">
        <w:rPr>
          <w:rFonts w:ascii="Times New Roman" w:hAnsi="Times New Roman" w:cs="Times New Roman"/>
          <w:sz w:val="24"/>
          <w:szCs w:val="24"/>
        </w:rPr>
        <w:t>(Marsha J. Daniel, 2011)</w:t>
      </w:r>
      <w:r w:rsidR="00CB2BBE" w:rsidRPr="002646EE">
        <w:rPr>
          <w:rFonts w:ascii="Times New Roman" w:hAnsi="Times New Roman" w:cs="Times New Roman"/>
          <w:sz w:val="24"/>
          <w:szCs w:val="24"/>
        </w:rPr>
        <w:fldChar w:fldCharType="end"/>
      </w:r>
      <w:r w:rsidR="00CB2BBE" w:rsidRPr="002646EE">
        <w:rPr>
          <w:rFonts w:ascii="Times New Roman" w:hAnsi="Times New Roman" w:cs="Times New Roman"/>
          <w:sz w:val="24"/>
          <w:szCs w:val="24"/>
        </w:rPr>
        <w:t>.</w:t>
      </w:r>
      <w:r w:rsidR="00CB2BBE" w:rsidRPr="002646EE">
        <w:rPr>
          <w:rStyle w:val="match"/>
          <w:rFonts w:ascii="Times New Roman" w:hAnsi="Times New Roman" w:cs="Times New Roman"/>
          <w:color w:val="333333"/>
          <w:sz w:val="24"/>
          <w:szCs w:val="24"/>
          <w:bdr w:val="none" w:sz="0" w:space="0" w:color="auto" w:frame="1"/>
        </w:rPr>
        <w:t xml:space="preserve"> </w:t>
      </w:r>
    </w:p>
    <w:p w:rsidR="00CB2BBE" w:rsidRPr="002646EE" w:rsidRDefault="00CB2BBE" w:rsidP="00CB2BBE">
      <w:pPr>
        <w:autoSpaceDE w:val="0"/>
        <w:autoSpaceDN w:val="0"/>
        <w:adjustRightInd w:val="0"/>
        <w:spacing w:after="0" w:line="360" w:lineRule="auto"/>
        <w:jc w:val="both"/>
        <w:rPr>
          <w:rFonts w:ascii="Times New Roman" w:hAnsi="Times New Roman" w:cs="Times New Roman"/>
          <w:color w:val="333333"/>
          <w:sz w:val="24"/>
          <w:szCs w:val="24"/>
          <w:shd w:val="clear" w:color="auto" w:fill="FFFFFF"/>
        </w:rPr>
      </w:pPr>
    </w:p>
    <w:p w:rsidR="00CB2BBE" w:rsidRPr="002646EE" w:rsidRDefault="00CB2BBE" w:rsidP="00CB2BBE">
      <w:pPr>
        <w:rPr>
          <w:rFonts w:ascii="Times New Roman" w:eastAsia="ArialMT" w:hAnsi="Times New Roman" w:cs="Times New Roman"/>
          <w:b/>
          <w:sz w:val="24"/>
          <w:szCs w:val="24"/>
          <w:u w:val="single"/>
        </w:rPr>
      </w:pPr>
    </w:p>
    <w:p w:rsidR="00CB2BBE" w:rsidRPr="002646EE" w:rsidRDefault="00CB2BBE" w:rsidP="002D6B34">
      <w:pPr>
        <w:pStyle w:val="Heading2"/>
      </w:pPr>
      <w:bookmarkStart w:id="8" w:name="_Toc171420537"/>
      <w:r w:rsidRPr="002646EE">
        <w:t>1.4 Palmitate-Induced Lipotoxicity  and Intestinal Dysfunction</w:t>
      </w:r>
      <w:bookmarkEnd w:id="8"/>
    </w:p>
    <w:p w:rsidR="00CB2BBE" w:rsidRPr="002646EE" w:rsidRDefault="00CB2BBE" w:rsidP="00CB2BBE">
      <w:pPr>
        <w:autoSpaceDE w:val="0"/>
        <w:autoSpaceDN w:val="0"/>
        <w:adjustRightInd w:val="0"/>
        <w:spacing w:after="0" w:line="360" w:lineRule="auto"/>
        <w:jc w:val="both"/>
        <w:rPr>
          <w:rStyle w:val="match"/>
          <w:rFonts w:ascii="Times New Roman" w:hAnsi="Times New Roman" w:cs="Times New Roman"/>
          <w:color w:val="333333"/>
          <w:sz w:val="24"/>
          <w:szCs w:val="24"/>
          <w:bdr w:val="none" w:sz="0" w:space="0" w:color="auto" w:frame="1"/>
        </w:rPr>
      </w:pPr>
      <w:r w:rsidRPr="002646EE">
        <w:rPr>
          <w:rStyle w:val="match"/>
          <w:rFonts w:ascii="Times New Roman" w:hAnsi="Times New Roman" w:cs="Times New Roman"/>
          <w:color w:val="333333"/>
          <w:sz w:val="24"/>
          <w:szCs w:val="24"/>
          <w:bdr w:val="none" w:sz="0" w:space="0" w:color="auto" w:frame="1"/>
        </w:rPr>
        <w:t>Palmitic acid (PA) ranks among the most abundant saturated fatty acids in human diets, displaying nearly the highest concentration in bloodstream fat tissues and plasma lipoproteins compared to other fatty</w:t>
      </w:r>
      <w:r w:rsidRPr="002646EE">
        <w:rPr>
          <w:rFonts w:ascii="Times New Roman" w:hAnsi="Times New Roman" w:cs="Times New Roman"/>
          <w:color w:val="333333"/>
          <w:sz w:val="24"/>
          <w:szCs w:val="24"/>
          <w:shd w:val="clear" w:color="auto" w:fill="FFFFFF"/>
        </w:rPr>
        <w:t xml:space="preserve"> acids (Opie &amp; Walfish, 1963). </w:t>
      </w:r>
      <w:r w:rsidRPr="002646EE">
        <w:rPr>
          <w:rStyle w:val="match"/>
          <w:rFonts w:ascii="Times New Roman" w:hAnsi="Times New Roman" w:cs="Times New Roman"/>
          <w:color w:val="333333"/>
          <w:sz w:val="24"/>
          <w:szCs w:val="24"/>
          <w:bdr w:val="none" w:sz="0" w:space="0" w:color="auto" w:frame="1"/>
        </w:rPr>
        <w:t xml:space="preserve">Previous studies have revealed that high-fat diets (HFDs) result in substantial elevations in PA levels in the bloodstream, a phenomenon </w:t>
      </w:r>
      <w:r w:rsidRPr="002646EE">
        <w:rPr>
          <w:rStyle w:val="match"/>
          <w:rFonts w:ascii="Times New Roman" w:hAnsi="Times New Roman" w:cs="Times New Roman"/>
          <w:color w:val="333333"/>
          <w:sz w:val="24"/>
          <w:szCs w:val="24"/>
          <w:bdr w:val="none" w:sz="0" w:space="0" w:color="auto" w:frame="1"/>
        </w:rPr>
        <w:lastRenderedPageBreak/>
        <w:t>closely linked to the dysfunction of the intestinal barrier.</w:t>
      </w:r>
      <w:r w:rsidRPr="002646EE">
        <w:rPr>
          <w:rFonts w:ascii="Times New Roman" w:hAnsi="Times New Roman" w:cs="Times New Roman"/>
          <w:color w:val="333333"/>
          <w:sz w:val="24"/>
          <w:szCs w:val="24"/>
          <w:shd w:val="clear" w:color="auto" w:fill="FFFFFF"/>
        </w:rPr>
        <w:t xml:space="preserve"> (Ouyang et al., 2022)</w:t>
      </w:r>
      <w:r w:rsidRPr="002646EE">
        <w:rPr>
          <w:rStyle w:val="NormalWebChar"/>
          <w:rFonts w:eastAsia="ArialMT"/>
        </w:rPr>
        <w:t>. PA, found in dietary products, is known to have harmful effects on various human organs due to its lipotoxic properties</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{"citationID":"7QGSqExv","properties":{"formattedCitation":"(Graciano et al., 2011)","plainCitation":"(Graciano et al., 2011)","noteIndex":0},"citationItems":[{"id":186,"uris":["http://zotero.org/users/local/Eg2UsBJR/items/7S8SUEVG"],"itemData":{"id":186,"type":"article-journal","container-title":"Islets","DOI":"10.4161/isl.3.5.15935","ISSN":"1938-2014, 1938-2022","issue":"5","journalAbbreviation":"Islets","language":"en","page":"213-223","source":"DOI.org (Crossref)","title":"Regulation of insulin secretion and reactive oxygen species production by free fatty acids in pancreatic islets","volume":"3","author":[{"family":"Graciano","given":"Maria Fernanda"},{"family":"Valle","given":"Maíra"},{"family":"Kowluru","given":"Anjaneyulu"},{"family":"Curi","given":"Rui"},{"family":"Carpinelli","given":"Angelo"}],"issued":{"date-parts":[["2011",9]]}}}],"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(Graciano et al., 2011)</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{"citationID":"Ad1geSJs","properties":{"formattedCitation":"(Cheon &amp; Cho, 2014)","plainCitation":"(Cheon &amp; Cho, 2014)","noteIndex":0},"citationItems":[{"id":190,"uris":["http://zotero.org/users/local/Eg2UsBJR/items/PNNBYM65"],"itemData":{"id":190,"type":"article-journal","container-title":"Journal of Biomedical Science","DOI":"10.1186/1423-0127-21-13","ISSN":"1423-0127","issue":"1","journalAbbreviation":"J Biomed Sci","language":"en","page":"13","source":"DOI.org (Crossref)","title":"Protection of palmitic acid-mediated lipotoxicity by arachidonic acid via channeling of palmitic acid into triglycerides in C2C12","volume":"21","author":[{"family":"Cheon","given":"Hyae"},{"family":"Cho","given":"Young"}],"issued":{"date-parts":[["2014"]]}}}],"schema":"https://github.com/citation-style-language/schema/raw/master/csl-citation.json"}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(Cheon &amp; Cho, 2014)</w:t>
      </w:r>
      <w:r w:rsidRPr="002646EE">
        <w:rPr>
          <w:rFonts w:ascii="Times New Roman" w:eastAsia="ArialMT" w:hAnsi="Times New Roman" w:cs="Times New Roman"/>
          <w:sz w:val="24"/>
          <w:szCs w:val="24"/>
        </w:rPr>
        <w:fldChar w:fldCharType="end"/>
      </w:r>
      <w:r w:rsidRPr="002646EE">
        <w:rPr>
          <w:rStyle w:val="NormalWebChar"/>
          <w:rFonts w:eastAsia="ArialMT"/>
        </w:rPr>
        <w:t xml:space="preserve">. In the intestine, PA is recognized for reducing insulin sensitivity and is linked to a higher chance of developing T2DM. Studies have reported that long-term exposure to PA disrupts cell development in various tissues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{"citationID":"b68CGWnM","properties":{"formattedCitation":"(Palomer et al., 2018)","plainCitation":"(Palomer et al., 2018)","noteIndex":0},"citationItems":[{"id":192,"uris":["http://zotero.org/users/local/Eg2UsBJR/items/GN2D2HFI"],"itemData":{"id":192,"type":"article-journal","container-title":"Trends in Endocrinology &amp; Metabolism","DOI":"10.1016/j.tem.2017.11.009","ISSN":"10432760","issue":"3","journalAbbreviation":"Trends in Endocrinology &amp; Metabolism","language":"en","page":"178-190","source":"DOI.org (Crossref)","title":"Palmitic and Oleic Acid: The Yin and Yang of Fatty Acids in Type 2 Diabetes Mellitus","title-short":"Palmitic and Oleic Acid","volume":"29","author":[{"family":"Palomer","given":"Xavier"},{"family":"Pizarro-Delgado","given":"Javier"},{"family":"Barroso","given":"Emma"},{"family":"Vázquez-Carrera","given":"Manuel"}],"issued":{"date-parts":[["2018",3]]}}}],"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(Palomer et al., 2018)</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{"citationID":"yAN5ES8c","properties":{"formattedCitation":"(Filippello et al., 2022)","plainCitation":"(Filippello et al., 2022)","noteIndex":0},"citationItems":[{"id":132,"uris":["http://zotero.org/users/local/Eg2UsBJR/items/4TARJDCE"],"itemData":{"id":132,"type":"article-journal","abstract":"Intestinal cell dysfunctions involved in obesity and associated diabetes could be correlated with impaired intestinal cell development. To date, the molecular mechanisms underlying these dysfunctions have been poorly investigated because of the lack of a good model for studying obesity. The main aim of this study was to investigate the effects of lipotoxicity on intestinal cell differentiation in small intestinal organoid platforms, which are used to analyze the regulation of cell differentiation. Mouse intestinal organoids were grown in the presence/absence of high palmitate concentrations (0.5 mM) for 48 h to simulate lipotoxicity. Palmitate treatment altered the expression of markers involved in the differentiation of enterocytes and goblet cells in the early (Hes1) and late (Muc2) phases of their development, respectively, and it modified enterocytes and goblet cell numbers. Furthermore, the expression of enteroendocrine cell progenitors (Ngn3) and I cells (CCK) markers was also impaired, as well as CCK-positive cell numbers and CCK secretion. Our data indicate, for the first time, that lipotoxicity simultaneously influences the differentiation of specific intestinal cell types in the gut: enterocytes, goblet cells and CCK cells. Through this study, we identified novel targets associated with molecular mechanisms affected by lipotoxicity that could be important for obesity and diabetes therapy.","container-title":"International Journal of Molecular Sciences","DOI":"10.3390/ijms23147751","ISSN":"1422-0067","issue":"14","journalAbbreviation":"IJMS","language":"en","license":"https://creativecommons.org/licenses/by/4.0/","page":"7751","source":"DOI.org (Crossref)","title":"Molecular Effects of Chronic Exposure to Palmitate in Intestinal Organoids: A New Model to Study Obesity and Diabetes","title-short":"Molecular Effects of Chronic Exposure to Palmitate in Intestinal Organoids","volume":"23","author":[{"family":"Filippello","given":"Agnese"},{"family":"Di Mauro","given":"Stefania"},{"family":"Scamporrino","given":"Alessandra"},{"family":"Torrisi","given":"Sebastiano Alfio"},{"family":"Leggio","given":"Gian Marco"},{"family":"Di Pino","given":"Antonino"},{"family":"Scicali","given":"Roberto"},{"family":"Di Marco","given":"Maurizio"},{"family":"Malaguarnera","given":"Roberta"},{"family":"Purrello","given":"Francesco"},{"family":"Piro","given":"Salvatore"}],"issued":{"date-parts":[["2022",7,13]]}}}],"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(Filippello et al., 2022)</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{"citationID":"6VoBJCV6","properties":{"formattedCitation":"(Silva Figueiredo et al., 2017)","plainCitation":"(Silva Figueiredo et al., 2017)","noteIndex":0},"citationItems":[{"id":196,"uris":["http://zotero.org/users/local/Eg2UsBJR/items/TS8SFCBA"],"itemData":{"id":196,"type":"article-journal","container-title":"Nutrients","DOI":"10.3390/nu9101158","ISSN":"2072-6643","issue":"10","journalAbbreviation":"Nutrients","language":"en","license":"https://creativecommons.org/licenses/by/4.0/","page":"1158","source":"DOI.org (Crossref)","title":"Fatty Acids Consumption: The Role Metabolic Aspects Involved in Obesity and Its Associated Disorders","title-short":"Fatty Acids Consumption","volume":"9","author":[{"family":"Silva Figueiredo","given":"Priscila"},{"family":"Carla Inada","given":"Aline"},{"family":"Marcelino","given":"Gabriela"},{"family":"Maiara Lopes Cardozo","given":"Carla"},{"family":"De Cássia Freitas","given":"Karine"},{"family":"De Cássia Avellaneda Guimarães","given":"Rita"},{"family":"Pereira De Castro","given":"Alinne"},{"family":"Aragão Do Nascimento","given":"Valter"},{"family":"Aiko Hiane","given":"Priscila"}],"issued":{"date-parts":[["2017",10,22]]}}}],"schema":"https://github.com/citation-style-language/schema/raw/master/csl-citation.json"}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(Silva Figueiredo et al., 2017)</w:t>
      </w:r>
      <w:r w:rsidRPr="002646EE">
        <w:rPr>
          <w:rFonts w:ascii="Times New Roman" w:eastAsia="ArialMT" w:hAnsi="Times New Roman" w:cs="Times New Roman"/>
          <w:sz w:val="24"/>
          <w:szCs w:val="24"/>
        </w:rPr>
        <w:fldChar w:fldCharType="end"/>
      </w:r>
      <w:r w:rsidRPr="002646EE">
        <w:rPr>
          <w:rStyle w:val="NormalWebChar"/>
          <w:rFonts w:eastAsia="ArialMT"/>
        </w:rPr>
        <w:t xml:space="preserve">. </w:t>
      </w:r>
      <w:r w:rsidRPr="002646EE">
        <w:rPr>
          <w:rStyle w:val="match"/>
          <w:rFonts w:ascii="Times New Roman" w:hAnsi="Times New Roman" w:cs="Times New Roman"/>
          <w:color w:val="333333"/>
          <w:sz w:val="24"/>
          <w:szCs w:val="24"/>
          <w:bdr w:val="none" w:sz="0" w:space="0" w:color="auto" w:frame="1"/>
        </w:rPr>
        <w:t xml:space="preserve">PA shows lipotoxic properties </w:t>
      </w:r>
      <w:r w:rsidRPr="002646EE">
        <w:rPr>
          <w:rStyle w:val="match"/>
          <w:rFonts w:ascii="Times New Roman" w:hAnsi="Times New Roman" w:cs="Times New Roman"/>
          <w:color w:val="333333"/>
          <w:sz w:val="24"/>
          <w:szCs w:val="24"/>
          <w:bdr w:val="none" w:sz="0" w:space="0" w:color="auto" w:frame="1"/>
        </w:rPr>
        <w:fldChar w:fldCharType="begin"/>
      </w:r>
      <w:r w:rsidRPr="002646EE">
        <w:rPr>
          <w:rStyle w:val="match"/>
          <w:rFonts w:ascii="Times New Roman" w:hAnsi="Times New Roman" w:cs="Times New Roman"/>
          <w:color w:val="333333"/>
          <w:sz w:val="24"/>
          <w:szCs w:val="24"/>
          <w:bdr w:val="none" w:sz="0" w:space="0" w:color="auto" w:frame="1"/>
        </w:rPr>
        <w:instrText xml:space="preserve"> ADDIN ZOTERO_ITEM CSL_CITATION {"citationID":"6CyTKJtb","properties":{"formattedCitation":"(Madsen et al., 2005)","plainCitation":"(Madsen et al., 2005)","noteIndex":0},"citationItems":[{"id":198,"uris":["http://zotero.org/users/local/Eg2UsBJR/items/TQF2ZDVJ"],"itemData":{"id":198,"type":"article-journal","container-title":"Biochimica et Biophysica Acta (BBA) - Molecular Basis of Disease","DOI":"10.1016/j.bbadis.2005.03.001","ISSN":"09254439","issue":"2","journalAbbreviation":"Biochimica et Biophysica Acta (BBA) - Molecular Basis of Disease","language":"en","license":"https://www.elsevier.com/tdm/userlicense/1.0/","page":"266-286","source":"DOI.org (Crossref)","title":"Regulation of adipocyte differentiation and function by polyunsaturated fatty acids","volume":"1740","author":[{"family":"Madsen","given":"Lise"},{"family":"Petersen","given":"Rasmus Koefoed"},{"family":"Kristiansen","given":"Karsten"}],"issued":{"date-parts":[["2005",5]]}}}],"schema":"https://github.com/citation-style-language/schema/raw/master/csl-citation.json"} </w:instrText>
      </w:r>
      <w:r w:rsidRPr="002646EE">
        <w:rPr>
          <w:rStyle w:val="match"/>
          <w:rFonts w:ascii="Times New Roman" w:hAnsi="Times New Roman" w:cs="Times New Roman"/>
          <w:color w:val="333333"/>
          <w:sz w:val="24"/>
          <w:szCs w:val="24"/>
          <w:bdr w:val="none" w:sz="0" w:space="0" w:color="auto" w:frame="1"/>
        </w:rPr>
        <w:fldChar w:fldCharType="separate"/>
      </w:r>
      <w:r w:rsidRPr="002646EE">
        <w:rPr>
          <w:rFonts w:ascii="Times New Roman" w:hAnsi="Times New Roman" w:cs="Times New Roman"/>
          <w:sz w:val="24"/>
          <w:szCs w:val="24"/>
        </w:rPr>
        <w:t>(Madsen et al., 2005)</w:t>
      </w:r>
      <w:r w:rsidRPr="002646EE">
        <w:rPr>
          <w:rStyle w:val="match"/>
          <w:rFonts w:ascii="Times New Roman" w:hAnsi="Times New Roman" w:cs="Times New Roman"/>
          <w:color w:val="333333"/>
          <w:sz w:val="24"/>
          <w:szCs w:val="24"/>
          <w:bdr w:val="none" w:sz="0" w:space="0" w:color="auto" w:frame="1"/>
        </w:rPr>
        <w:fldChar w:fldCharType="end"/>
      </w:r>
      <w:r w:rsidRPr="002646EE">
        <w:rPr>
          <w:rStyle w:val="match"/>
          <w:rFonts w:ascii="Times New Roman" w:hAnsi="Times New Roman" w:cs="Times New Roman"/>
          <w:color w:val="333333"/>
          <w:sz w:val="24"/>
          <w:szCs w:val="24"/>
          <w:bdr w:val="none" w:sz="0" w:space="0" w:color="auto" w:frame="1"/>
        </w:rPr>
        <w:t xml:space="preserve">  </w:t>
      </w:r>
      <w:r w:rsidRPr="002646EE">
        <w:rPr>
          <w:rStyle w:val="match"/>
          <w:rFonts w:ascii="Times New Roman" w:hAnsi="Times New Roman" w:cs="Times New Roman"/>
          <w:color w:val="333333"/>
          <w:sz w:val="24"/>
          <w:szCs w:val="24"/>
          <w:bdr w:val="none" w:sz="0" w:space="0" w:color="auto" w:frame="1"/>
        </w:rPr>
        <w:fldChar w:fldCharType="begin"/>
      </w:r>
      <w:r w:rsidRPr="002646EE">
        <w:rPr>
          <w:rStyle w:val="match"/>
          <w:rFonts w:ascii="Times New Roman" w:hAnsi="Times New Roman" w:cs="Times New Roman"/>
          <w:color w:val="333333"/>
          <w:sz w:val="24"/>
          <w:szCs w:val="24"/>
          <w:bdr w:val="none" w:sz="0" w:space="0" w:color="auto" w:frame="1"/>
        </w:rPr>
        <w:instrText xml:space="preserve"> ADDIN ZOTERO_ITEM CSL_CITATION {"citationID":"oxIgjpdq","properties":{"formattedCitation":"(Tachtsis et al., 2020)","plainCitation":"(Tachtsis et al., 2020)","noteIndex":0},"citationItems":[{"id":199,"uris":["http://zotero.org/users/local/Eg2UsBJR/items/DULTEMAS"],"itemData":{"id":199,"type":"article-journal","container-title":"Frontiers in Physiology","DOI":"10.3389/fphys.2020.00563","ISSN":"1664-042X","journalAbbreviation":"Front. Physiol.","page":"563","source":"DOI.org (Crossref)","title":"Omega-3 Polyunsaturated Fatty Acids Mitigate Palmitate-Induced Impairments in Skeletal Muscle Cell Viability and Differentiation","volume":"11","author":[{"family":"Tachtsis","given":"Bill"},{"family":"Whitfield","given":"Jamie"},{"family":"Hawley","given":"John A."},{"family":"Hoffman","given":"Nolan J."}],"issued":{"date-parts":[["2020",6,3]]}}}],"schema":"https://github.com/citation-style-language/schema/raw/master/csl-citation.json"} </w:instrText>
      </w:r>
      <w:r w:rsidRPr="002646EE">
        <w:rPr>
          <w:rStyle w:val="match"/>
          <w:rFonts w:ascii="Times New Roman" w:hAnsi="Times New Roman" w:cs="Times New Roman"/>
          <w:color w:val="333333"/>
          <w:sz w:val="24"/>
          <w:szCs w:val="24"/>
          <w:bdr w:val="none" w:sz="0" w:space="0" w:color="auto" w:frame="1"/>
        </w:rPr>
        <w:fldChar w:fldCharType="separate"/>
      </w:r>
      <w:r w:rsidRPr="002646EE">
        <w:rPr>
          <w:rFonts w:ascii="Times New Roman" w:hAnsi="Times New Roman" w:cs="Times New Roman"/>
          <w:sz w:val="24"/>
          <w:szCs w:val="24"/>
        </w:rPr>
        <w:t>(Tachtsis et al., 2020)</w:t>
      </w:r>
      <w:r w:rsidRPr="002646EE">
        <w:rPr>
          <w:rStyle w:val="match"/>
          <w:rFonts w:ascii="Times New Roman" w:hAnsi="Times New Roman" w:cs="Times New Roman"/>
          <w:color w:val="333333"/>
          <w:sz w:val="24"/>
          <w:szCs w:val="24"/>
          <w:bdr w:val="none" w:sz="0" w:space="0" w:color="auto" w:frame="1"/>
        </w:rPr>
        <w:fldChar w:fldCharType="end"/>
      </w:r>
      <w:r w:rsidRPr="002646EE">
        <w:rPr>
          <w:rStyle w:val="match"/>
          <w:rFonts w:ascii="Times New Roman" w:hAnsi="Times New Roman" w:cs="Times New Roman"/>
          <w:color w:val="333333"/>
          <w:sz w:val="24"/>
          <w:szCs w:val="24"/>
          <w:bdr w:val="none" w:sz="0" w:space="0" w:color="auto" w:frame="1"/>
        </w:rPr>
        <w:t xml:space="preserve">  </w:t>
      </w:r>
      <w:r w:rsidRPr="002646EE">
        <w:rPr>
          <w:rStyle w:val="match"/>
          <w:rFonts w:ascii="Times New Roman" w:hAnsi="Times New Roman" w:cs="Times New Roman"/>
          <w:color w:val="333333"/>
          <w:sz w:val="24"/>
          <w:szCs w:val="24"/>
          <w:bdr w:val="none" w:sz="0" w:space="0" w:color="auto" w:frame="1"/>
        </w:rPr>
        <w:fldChar w:fldCharType="begin"/>
      </w:r>
      <w:r w:rsidRPr="002646EE">
        <w:rPr>
          <w:rStyle w:val="match"/>
          <w:rFonts w:ascii="Times New Roman" w:hAnsi="Times New Roman" w:cs="Times New Roman"/>
          <w:color w:val="333333"/>
          <w:sz w:val="24"/>
          <w:szCs w:val="24"/>
          <w:bdr w:val="none" w:sz="0" w:space="0" w:color="auto" w:frame="1"/>
        </w:rPr>
        <w:instrText xml:space="preserve"> ADDIN ZOTERO_ITEM CSL_CITATION {"citationID":"4efaU0Df","properties":{"formattedCitation":"(Glenske et al., 2020)","plainCitation":"(Glenske et al., 2020)","noteIndex":0},"citationItems":[{"id":201,"uris":["http://zotero.org/users/local/Eg2UsBJR/items/B4QAN8BK"],"itemData":{"id":201,"type":"article-journal","container-title":"Bone Reports","DOI":"10.1016/j.bonr.2020.100707","ISSN":"23521872","journalAbbreviation":"Bone Reports","language":"en","page":"100707","source":"DOI.org (Crossref)","title":"Effect of long term palmitate treatment on osteogenic differentiation of human mesenchymal stromal cells - Impact of albumin","volume":"13","author":[{"family":"Glenske","given":"Kristina"},{"family":"Schäpe","given":"Kaija"},{"family":"Wieck","given":"Anneke"},{"family":"Failing","given":"Klaus"},{"family":"Werner","given":"Janina"},{"family":"Rohnke","given":"Marcus"},{"family":"Wenisch","given":"Sabine"},{"family":"Mazurek","given":"Sybille"}],"issued":{"date-parts":[["2020",12]]}}}],"schema":"https://github.com/citation-style-language/schema/raw/master/csl-citation.json"} </w:instrText>
      </w:r>
      <w:r w:rsidRPr="002646EE">
        <w:rPr>
          <w:rStyle w:val="match"/>
          <w:rFonts w:ascii="Times New Roman" w:hAnsi="Times New Roman" w:cs="Times New Roman"/>
          <w:color w:val="333333"/>
          <w:sz w:val="24"/>
          <w:szCs w:val="24"/>
          <w:bdr w:val="none" w:sz="0" w:space="0" w:color="auto" w:frame="1"/>
        </w:rPr>
        <w:fldChar w:fldCharType="separate"/>
      </w:r>
      <w:r w:rsidRPr="002646EE">
        <w:rPr>
          <w:rFonts w:ascii="Times New Roman" w:hAnsi="Times New Roman" w:cs="Times New Roman"/>
          <w:sz w:val="24"/>
          <w:szCs w:val="24"/>
        </w:rPr>
        <w:t>(Glenske et al., 2020)</w:t>
      </w:r>
      <w:r w:rsidRPr="002646EE">
        <w:rPr>
          <w:rStyle w:val="match"/>
          <w:rFonts w:ascii="Times New Roman" w:hAnsi="Times New Roman" w:cs="Times New Roman"/>
          <w:color w:val="333333"/>
          <w:sz w:val="24"/>
          <w:szCs w:val="24"/>
          <w:bdr w:val="none" w:sz="0" w:space="0" w:color="auto" w:frame="1"/>
        </w:rPr>
        <w:fldChar w:fldCharType="end"/>
      </w:r>
      <w:r w:rsidRPr="002646EE">
        <w:rPr>
          <w:rStyle w:val="match"/>
          <w:rFonts w:ascii="Times New Roman" w:hAnsi="Times New Roman" w:cs="Times New Roman"/>
          <w:color w:val="333333"/>
          <w:sz w:val="24"/>
          <w:szCs w:val="24"/>
          <w:bdr w:val="none" w:sz="0" w:space="0" w:color="auto" w:frame="1"/>
        </w:rPr>
        <w:t>.I wanted to see whether PA is lipotoxic to the intestinal secretin tumor cell line.</w:t>
      </w:r>
    </w:p>
    <w:p w:rsidR="00CB2BBE" w:rsidRPr="002646EE" w:rsidRDefault="00CB2BBE" w:rsidP="00CB2BBE">
      <w:pPr>
        <w:autoSpaceDE w:val="0"/>
        <w:autoSpaceDN w:val="0"/>
        <w:adjustRightInd w:val="0"/>
        <w:spacing w:after="0" w:line="360" w:lineRule="auto"/>
        <w:jc w:val="both"/>
        <w:rPr>
          <w:rFonts w:ascii="Times New Roman" w:hAnsi="Times New Roman" w:cs="Times New Roman"/>
          <w:color w:val="333333"/>
          <w:sz w:val="24"/>
          <w:szCs w:val="24"/>
          <w:shd w:val="clear" w:color="auto" w:fill="FFFFFF"/>
        </w:rPr>
      </w:pPr>
    </w:p>
    <w:p w:rsidR="00C573D0" w:rsidRPr="002646EE" w:rsidRDefault="00CB2BBE" w:rsidP="002D6B34">
      <w:pPr>
        <w:pStyle w:val="Heading2"/>
        <w:rPr>
          <w:color w:val="2B2D38"/>
          <w:shd w:val="clear" w:color="auto" w:fill="FFFFFF"/>
          <w14:textFill>
            <w14:solidFill>
              <w14:srgbClr w14:val="2B2D38">
                <w14:lumMod w14:val="75000"/>
              </w14:srgbClr>
            </w14:solidFill>
          </w14:textFill>
        </w:rPr>
      </w:pPr>
      <w:bookmarkStart w:id="9" w:name="_Toc171420538"/>
      <w:r w:rsidRPr="002646EE">
        <w:rPr>
          <w:rFonts w:eastAsia="Times New Roman"/>
        </w:rPr>
        <w:t xml:space="preserve">1.5 </w:t>
      </w:r>
      <w:r w:rsidR="00C573D0" w:rsidRPr="002646EE">
        <w:t>The significance of polyherbal formulations in managing  T2DM</w:t>
      </w:r>
      <w:bookmarkEnd w:id="9"/>
      <w:r w:rsidR="00C573D0" w:rsidRPr="002646EE">
        <w:t xml:space="preserve"> </w:t>
      </w:r>
    </w:p>
    <w:p w:rsidR="00CB2BBE" w:rsidRPr="002646EE" w:rsidRDefault="00CB2BBE" w:rsidP="00CB2BBE">
      <w:pPr>
        <w:spacing w:after="0" w:line="360" w:lineRule="auto"/>
        <w:jc w:val="both"/>
        <w:rPr>
          <w:rFonts w:ascii="Times New Roman" w:hAnsi="Times New Roman" w:cs="Times New Roman"/>
          <w:color w:val="2B2D38"/>
          <w:sz w:val="24"/>
          <w:szCs w:val="24"/>
          <w:shd w:val="clear" w:color="auto" w:fill="FFFFFF"/>
        </w:rPr>
      </w:pPr>
      <w:r w:rsidRPr="002646EE">
        <w:rPr>
          <w:rFonts w:ascii="Times New Roman" w:hAnsi="Times New Roman" w:cs="Times New Roman"/>
          <w:color w:val="2B2D38"/>
          <w:sz w:val="24"/>
          <w:szCs w:val="24"/>
          <w:shd w:val="clear" w:color="auto" w:fill="FFFFFF"/>
        </w:rPr>
        <w:t>Recent advancements in glycemic control through various drugs, diabetes mellitus continues to be a major health concern due to its significant impact on mortality and morbidity rates</w:t>
      </w:r>
    </w:p>
    <w:p w:rsidR="00CB2BBE" w:rsidRPr="002646EE" w:rsidRDefault="00CB2BBE" w:rsidP="00CB2BBE">
      <w:pPr>
        <w:spacing w:after="0" w:line="360" w:lineRule="auto"/>
        <w:jc w:val="both"/>
        <w:rPr>
          <w:rFonts w:ascii="Times New Roman" w:eastAsia="Times New Roman" w:hAnsi="Times New Roman" w:cs="Times New Roman"/>
          <w:b/>
          <w:bCs/>
          <w:sz w:val="24"/>
          <w:szCs w:val="24"/>
          <w:u w:val="single"/>
          <w:lang w:eastAsia="en-IN"/>
        </w:rPr>
      </w:pPr>
      <w:r w:rsidRPr="002646EE">
        <w:rPr>
          <w:rFonts w:ascii="Times New Roman" w:hAnsi="Times New Roman" w:cs="Times New Roman"/>
          <w:color w:val="2B2D38"/>
          <w:sz w:val="24"/>
          <w:szCs w:val="24"/>
          <w:shd w:val="clear" w:color="auto" w:fill="FFFFFF"/>
        </w:rPr>
        <w:t xml:space="preserve"> </w:t>
      </w:r>
      <w:r w:rsidRPr="002646EE">
        <w:rPr>
          <w:rFonts w:ascii="Times New Roman" w:hAnsi="Times New Roman" w:cs="Times New Roman"/>
          <w:color w:val="2B2D38"/>
          <w:sz w:val="24"/>
          <w:szCs w:val="24"/>
          <w:shd w:val="clear" w:color="auto" w:fill="FFFFFF"/>
        </w:rPr>
        <w:fldChar w:fldCharType="begin"/>
      </w:r>
      <w:r w:rsidRPr="002646EE">
        <w:rPr>
          <w:rFonts w:ascii="Times New Roman" w:hAnsi="Times New Roman" w:cs="Times New Roman"/>
          <w:color w:val="2B2D38"/>
          <w:sz w:val="24"/>
          <w:szCs w:val="24"/>
          <w:shd w:val="clear" w:color="auto" w:fill="FFFFFF"/>
        </w:rPr>
        <w:instrText xml:space="preserve"> ADDIN ZOTERO_ITEM CSL_CITATION {"citationID":"Ijfm74HC","properties":{"formattedCitation":"(. Gerstein et al., 2008)","plainCitation":"(. Gerstein et al., 2008)","noteIndex":0},"citationItems":[{"id":236,"uris":["http://zotero.org/users/local/Eg2UsBJR/items/69JBRWV5"],"itemData":{"id":236,"type":"article-journal","container-title":"New England Journal of Medicine","DOI":"10.1056/NEJMoa0802743","ISSN":"0028-4793, 1533-4406","issue":"24","journalAbbreviation":"N Engl J Med","language":"en","page":"2545-2559","source":"DOI.org (Crossref)","title":"Effects of Intensive Glucose Lowering in Type 2 Diabetes","volume":"358","author":[{"family":". Gerstein","given":"Hertzel C"},{"family":"Hamilton","given":""},{"family":"Miller","given":"Michael E."},{"family":"Byington","given":"Robert P."},{"family":"David C. Goff","given":""},{"family":"Winston-Salem","given":""}],"issued":{"date-parts":[["2008",6,12]]}}}],"schema":"https://github.com/citation-style-language/schema/raw/master/csl-citation.json"} </w:instrText>
      </w:r>
      <w:r w:rsidRPr="002646EE">
        <w:rPr>
          <w:rFonts w:ascii="Times New Roman" w:hAnsi="Times New Roman" w:cs="Times New Roman"/>
          <w:color w:val="2B2D38"/>
          <w:sz w:val="24"/>
          <w:szCs w:val="24"/>
          <w:shd w:val="clear" w:color="auto" w:fill="FFFFFF"/>
        </w:rPr>
        <w:fldChar w:fldCharType="separate"/>
      </w:r>
      <w:r w:rsidRPr="002646EE">
        <w:rPr>
          <w:rFonts w:ascii="Times New Roman" w:hAnsi="Times New Roman" w:cs="Times New Roman"/>
          <w:sz w:val="24"/>
          <w:szCs w:val="24"/>
        </w:rPr>
        <w:t>(. Gerstein et al., 2008)</w:t>
      </w:r>
      <w:r w:rsidRPr="002646EE">
        <w:rPr>
          <w:rFonts w:ascii="Times New Roman" w:hAnsi="Times New Roman" w:cs="Times New Roman"/>
          <w:color w:val="2B2D38"/>
          <w:sz w:val="24"/>
          <w:szCs w:val="24"/>
          <w:shd w:val="clear" w:color="auto" w:fill="FFFFFF"/>
        </w:rPr>
        <w:fldChar w:fldCharType="end"/>
      </w:r>
      <w:r w:rsidRPr="002646EE">
        <w:rPr>
          <w:rFonts w:ascii="Times New Roman" w:hAnsi="Times New Roman" w:cs="Times New Roman"/>
          <w:color w:val="2B2D38"/>
          <w:sz w:val="24"/>
          <w:szCs w:val="24"/>
          <w:shd w:val="clear" w:color="auto" w:fill="FFFFFF"/>
        </w:rPr>
        <w:t>. Severe hyperglycemia, hyperlipidemia, and related complications adversely affect the quality of life. Therefore, there is an ongoing need for optimal treatments to manage this disease</w:t>
      </w:r>
      <w:r w:rsidRPr="002646EE">
        <w:rPr>
          <w:rFonts w:ascii="Times New Roman" w:hAnsi="Times New Roman" w:cs="Times New Roman"/>
          <w:color w:val="2B2D38"/>
          <w:sz w:val="24"/>
          <w:szCs w:val="24"/>
          <w:shd w:val="clear" w:color="auto" w:fill="FFFFFF"/>
        </w:rPr>
        <w:fldChar w:fldCharType="begin"/>
      </w:r>
      <w:r w:rsidRPr="002646EE">
        <w:rPr>
          <w:rFonts w:ascii="Times New Roman" w:hAnsi="Times New Roman" w:cs="Times New Roman"/>
          <w:color w:val="2B2D38"/>
          <w:sz w:val="24"/>
          <w:szCs w:val="24"/>
          <w:shd w:val="clear" w:color="auto" w:fill="FFFFFF"/>
        </w:rPr>
        <w:instrText xml:space="preserve"> ADDIN ZOTERO_ITEM CSL_CITATION {"citationID":"p1NklZDz","properties":{"formattedCitation":"(Sridharan et al., 2011)","plainCitation":"(Sridharan et al., 2011)","noteIndex":0},"citationItems":[{"id":238,"uris":["http://zotero.org/users/local/Eg2UsBJR/items/NSIV6XUB"],"itemData":{"id":238,"type":"article-journal","container-title":"Cochrane Database of Systematic Reviews","DOI":"10.1002/14651858.CD008288.pub2","ISSN":"14651858","language":"en","source":"DOI.org (Crossref)","title":"Ayurvedic treatments for diabetes mellitus","URL":"https://doi.wiley.com/10.1002/14651858.CD008288.pub2","author":[{"family":"Sridharan","given":"Kalpana"},{"family":"Mohan","given":"Roshni"},{"family":"Ramaratnam","given":"Sridharan"},{"family":"Panneerselvam","given":"Deepak"}],"editor":[{"literal":"Cochrane Metabolic and Endocrine Disorders Group"}],"accessed":{"date-parts":[["2024",6,9]]},"issued":{"date-parts":[["2011",12,7]]}}}],"schema":"https://github.com/citation-style-language/schema/raw/master/csl-citation.json"} </w:instrText>
      </w:r>
      <w:r w:rsidRPr="002646EE">
        <w:rPr>
          <w:rFonts w:ascii="Times New Roman" w:hAnsi="Times New Roman" w:cs="Times New Roman"/>
          <w:color w:val="2B2D38"/>
          <w:sz w:val="24"/>
          <w:szCs w:val="24"/>
          <w:shd w:val="clear" w:color="auto" w:fill="FFFFFF"/>
        </w:rPr>
        <w:fldChar w:fldCharType="separate"/>
      </w:r>
      <w:r w:rsidRPr="002646EE">
        <w:rPr>
          <w:rFonts w:ascii="Times New Roman" w:hAnsi="Times New Roman" w:cs="Times New Roman"/>
          <w:sz w:val="24"/>
          <w:szCs w:val="24"/>
        </w:rPr>
        <w:t>(Sridharan et al., 2011)</w:t>
      </w:r>
      <w:r w:rsidRPr="002646EE">
        <w:rPr>
          <w:rFonts w:ascii="Times New Roman" w:hAnsi="Times New Roman" w:cs="Times New Roman"/>
          <w:color w:val="2B2D38"/>
          <w:sz w:val="24"/>
          <w:szCs w:val="24"/>
          <w:shd w:val="clear" w:color="auto" w:fill="FFFFFF"/>
        </w:rPr>
        <w:fldChar w:fldCharType="end"/>
      </w:r>
      <w:r w:rsidRPr="002646EE">
        <w:rPr>
          <w:rFonts w:ascii="Times New Roman" w:hAnsi="Times New Roman" w:cs="Times New Roman"/>
          <w:color w:val="2B2D38"/>
          <w:sz w:val="24"/>
          <w:szCs w:val="24"/>
          <w:shd w:val="clear" w:color="auto" w:fill="FFFFFF"/>
        </w:rPr>
        <w:t>.</w:t>
      </w:r>
      <w:r w:rsidRPr="002646EE">
        <w:rPr>
          <w:rFonts w:ascii="Times New Roman" w:hAnsi="Times New Roman" w:cs="Times New Roman"/>
          <w:color w:val="2B2D38"/>
          <w:sz w:val="24"/>
          <w:szCs w:val="24"/>
        </w:rPr>
        <w:t xml:space="preserve"> </w:t>
      </w:r>
      <w:r w:rsidRPr="002646EE">
        <w:rPr>
          <w:rFonts w:ascii="Times New Roman" w:hAnsi="Times New Roman" w:cs="Times New Roman"/>
          <w:color w:val="2B2D38"/>
          <w:sz w:val="24"/>
          <w:szCs w:val="24"/>
          <w:shd w:val="clear" w:color="auto" w:fill="FFFFFF"/>
        </w:rPr>
        <w:t>An effective anti-diabetic therapy should not only focus on controlling blood glucose levels but also aim to prevent the progression of diabetic complications. While standard allopathic treatments have proven effective in managing diabetes mellitus, their success can sometimes be</w:t>
      </w:r>
      <w:r w:rsidRPr="002646EE">
        <w:rPr>
          <w:rFonts w:ascii="Times New Roman" w:hAnsi="Times New Roman" w:cs="Times New Roman"/>
          <w:color w:val="2B2D38"/>
          <w:sz w:val="24"/>
          <w:szCs w:val="24"/>
        </w:rPr>
        <w:t xml:space="preserve"> limited</w:t>
      </w:r>
      <w:r w:rsidRPr="002646EE">
        <w:rPr>
          <w:rFonts w:ascii="Times New Roman" w:hAnsi="Times New Roman" w:cs="Times New Roman"/>
          <w:color w:val="2B2D38"/>
          <w:sz w:val="24"/>
          <w:szCs w:val="24"/>
        </w:rPr>
        <w:fldChar w:fldCharType="begin"/>
      </w:r>
      <w:r w:rsidRPr="002646EE">
        <w:rPr>
          <w:rFonts w:ascii="Times New Roman" w:hAnsi="Times New Roman" w:cs="Times New Roman"/>
          <w:color w:val="2B2D38"/>
          <w:sz w:val="24"/>
          <w:szCs w:val="24"/>
        </w:rPr>
        <w:instrText xml:space="preserve"> ADDIN ZOTERO_ITEM CSL_CITATION {"citationID":"HQGZjybt","properties":{"formattedCitation":"(Pandey et al., 2011)","plainCitation":"(Pandey et al., 2011)","noteIndex":0},"citationItems":[{"id":240,"uris":["http://zotero.org/users/local/Eg2UsBJR/items/6THHYW2V"],"itemData":{"id":240,"type":"article-journal","container-title":"Journal of Pharmacy And Bioallied Sciences","DOI":"10.4103/0975-7406.90103","ISSN":"0975-7406","issue":"4","journalAbbreviation":"J Pharm Bioall Sci","language":"en","page":"504","source":"DOI.org (Crossref)","title":"Alternative therapies useful in the management of diabetes: A systematic review","title-short":"Alternative therapies useful in the management of diabetes","volume":"3","author":[{"family":"Pandey","given":"Awanish"},{"family":"Tripathi","given":"Poonam"},{"family":"Pandey","given":"Rishabh"},{"family":"Srivatava","given":"Rashmi"},{"family":"Goswami","given":"Shambaditya"}],"issued":{"date-parts":[["2011"]]}}}],"schema":"https://github.com/citation-style-language/schema/raw/master/csl-citation.json"} </w:instrText>
      </w:r>
      <w:r w:rsidRPr="002646EE">
        <w:rPr>
          <w:rFonts w:ascii="Times New Roman" w:hAnsi="Times New Roman" w:cs="Times New Roman"/>
          <w:color w:val="2B2D38"/>
          <w:sz w:val="24"/>
          <w:szCs w:val="24"/>
        </w:rPr>
        <w:fldChar w:fldCharType="separate"/>
      </w:r>
      <w:r w:rsidRPr="002646EE">
        <w:rPr>
          <w:rFonts w:ascii="Times New Roman" w:hAnsi="Times New Roman" w:cs="Times New Roman"/>
          <w:sz w:val="24"/>
          <w:szCs w:val="24"/>
        </w:rPr>
        <w:t>(Pandey et al., 2011)</w:t>
      </w:r>
      <w:r w:rsidRPr="002646EE">
        <w:rPr>
          <w:rFonts w:ascii="Times New Roman" w:hAnsi="Times New Roman" w:cs="Times New Roman"/>
          <w:color w:val="2B2D38"/>
          <w:sz w:val="24"/>
          <w:szCs w:val="24"/>
        </w:rPr>
        <w:fldChar w:fldCharType="end"/>
      </w:r>
      <w:r w:rsidRPr="002646EE">
        <w:rPr>
          <w:rFonts w:ascii="Times New Roman" w:hAnsi="Times New Roman" w:cs="Times New Roman"/>
          <w:color w:val="2B2D38"/>
          <w:sz w:val="24"/>
          <w:szCs w:val="24"/>
        </w:rPr>
        <w:t xml:space="preserve">. </w:t>
      </w:r>
      <w:r w:rsidR="008F383A" w:rsidRPr="002646EE">
        <w:rPr>
          <w:rFonts w:ascii="Times New Roman" w:hAnsi="Times New Roman" w:cs="Times New Roman"/>
          <w:color w:val="2B2D38"/>
          <w:sz w:val="24"/>
          <w:szCs w:val="24"/>
          <w:shd w:val="clear" w:color="auto" w:fill="FFFFFF"/>
        </w:rPr>
        <w:t>In recent years, alternative therapies for diabetes have gained popularity due to their ability to lower blood glucose levels with minimal side effects</w:t>
      </w:r>
      <w:r w:rsidR="008F383A" w:rsidRPr="002646EE">
        <w:rPr>
          <w:rFonts w:ascii="Times New Roman" w:hAnsi="Times New Roman" w:cs="Times New Roman"/>
          <w:color w:val="2B2D38"/>
          <w:sz w:val="24"/>
          <w:szCs w:val="24"/>
          <w:shd w:val="clear" w:color="auto" w:fill="FFFFFF"/>
        </w:rPr>
        <w:fldChar w:fldCharType="begin"/>
      </w:r>
      <w:r w:rsidR="008F383A" w:rsidRPr="002646EE">
        <w:rPr>
          <w:rFonts w:ascii="Times New Roman" w:hAnsi="Times New Roman" w:cs="Times New Roman"/>
          <w:color w:val="2B2D38"/>
          <w:sz w:val="24"/>
          <w:szCs w:val="24"/>
          <w:shd w:val="clear" w:color="auto" w:fill="FFFFFF"/>
        </w:rPr>
        <w:instrText xml:space="preserve"> ADDIN ZOTERO_ITEM CSL_CITATION {"citationID":"HGxsPb3F","properties":{"formattedCitation":"(Huang et al., 2007)","plainCitation":"(Huang et al., 2007)","noteIndex":0},"citationItems":[{"id":241,"uris":["http://zotero.org/users/local/Eg2UsBJR/items/MZDYTHJB"],"itemData":{"id":241,"type":"article-journal","abstract":"OBJECTIVE—Understanding how individuals weigh the quality of life associated with complications and treatments is important in assessing the economic value of diabetes care and may provide insight into treatment adherence. We quantify patients’ utilities (a measure of preference) for the full array of diabetes-related complications and treatments.\n            RESEARCH DESIGN AND METHODS—We conducted interviews with a multiethnic sample of 701 adult patients living with diabetes who were attending Chicago area clinics. We elicited utilities (ratings on a 0–1 scale, where 0 represents death and 1 represents perfect health) for hypothetical health states by using time-tradeoff questions. We evaluated 9 complication states (e.g., diabetic retinopathy and blindness) and 10 treatment states (e.g., intensive glucose control vs. conventional glucose control and comprehensive diabetes care [i.e., intensive control of multiple risk factors]).\n            RESULTS—End-stage complications had lower mean utilities than intermediate complications (e.g., blindness 0.38 [SD 0.35] vs. retinopathy 0.53 [0.36], P &amp;lt; 0.01), and end-stage complications had the lowest ratings among all health states. Intensive treatments had lower mean utilities than conventional treatments (e.g., intensive glucose control 0.67 [0.34] vs. conventional glucose control 0.76 [0.31], P &amp;lt; 0.01), and the lowest rated treatment state was comprehensive diabetes care (0.64 [0.34]). Patients rated comprehensive treatment states similarly to intermediate complication states.\n            CONCLUSIONS—End-stage complications have the greatest perceived burden on quality of life; however, comprehensive diabetes treatments also have significant negative quality-of-life effects. Acknowledging these effects of diabetes care will be important for future economic evaluations of novel drug combination therapies and innovations in drug delivery.","container-title":"Diabetes Care","DOI":"10.2337/dc07-0499","ISSN":"0149-5992, 1935-5548","issue":"10","language":"en","page":"2478-2483","source":"DOI.org (Crossref)","title":"Patient Perceptions of Quality of Life With Diabetes-Related Complications and Treatments","volume":"30","author":[{"family":"Huang","given":"Elbert S."},{"family":"Brown","given":"Sydney E.S."},{"family":"Ewigman","given":"Bernard G."},{"family":"Foley","given":"Edward C."},{"family":"Meltzer","given":"David O."}],"issued":{"date-parts":[["2007",10,1]]}}}],"schema":"https://github.com/citation-style-language/schema/raw/master/csl-citation.json"} </w:instrText>
      </w:r>
      <w:r w:rsidR="008F383A" w:rsidRPr="002646EE">
        <w:rPr>
          <w:rFonts w:ascii="Times New Roman" w:hAnsi="Times New Roman" w:cs="Times New Roman"/>
          <w:color w:val="2B2D38"/>
          <w:sz w:val="24"/>
          <w:szCs w:val="24"/>
          <w:shd w:val="clear" w:color="auto" w:fill="FFFFFF"/>
        </w:rPr>
        <w:fldChar w:fldCharType="separate"/>
      </w:r>
      <w:r w:rsidR="008F383A" w:rsidRPr="002646EE">
        <w:rPr>
          <w:rFonts w:ascii="Times New Roman" w:hAnsi="Times New Roman" w:cs="Times New Roman"/>
          <w:sz w:val="24"/>
          <w:szCs w:val="24"/>
        </w:rPr>
        <w:t>(Huang et al., 2007)</w:t>
      </w:r>
      <w:r w:rsidR="008F383A" w:rsidRPr="002646EE">
        <w:rPr>
          <w:rFonts w:ascii="Times New Roman" w:hAnsi="Times New Roman" w:cs="Times New Roman"/>
          <w:color w:val="2B2D38"/>
          <w:sz w:val="24"/>
          <w:szCs w:val="24"/>
          <w:shd w:val="clear" w:color="auto" w:fill="FFFFFF"/>
        </w:rPr>
        <w:fldChar w:fldCharType="end"/>
      </w:r>
      <w:r w:rsidR="008F383A" w:rsidRPr="002646EE">
        <w:rPr>
          <w:rFonts w:ascii="Times New Roman" w:hAnsi="Times New Roman" w:cs="Times New Roman"/>
          <w:color w:val="2B2D38"/>
          <w:sz w:val="24"/>
          <w:szCs w:val="24"/>
          <w:shd w:val="clear" w:color="auto" w:fill="FFFFFF"/>
        </w:rPr>
        <w:t>. The phytochemicals in herbs, such as alkaloids, flavonoids, and saponins, contribute to the desired therapeutic effects in diabetes mellitus</w:t>
      </w:r>
      <w:r w:rsidR="008F383A" w:rsidRPr="002646EE">
        <w:rPr>
          <w:rFonts w:ascii="Times New Roman" w:hAnsi="Times New Roman" w:cs="Times New Roman"/>
          <w:color w:val="2B2D38"/>
          <w:sz w:val="24"/>
          <w:szCs w:val="24"/>
          <w:shd w:val="clear" w:color="auto" w:fill="FFFFFF"/>
        </w:rPr>
        <w:fldChar w:fldCharType="begin"/>
      </w:r>
      <w:r w:rsidR="008F383A" w:rsidRPr="002646EE">
        <w:rPr>
          <w:rFonts w:ascii="Times New Roman" w:hAnsi="Times New Roman" w:cs="Times New Roman"/>
          <w:color w:val="2B2D38"/>
          <w:sz w:val="24"/>
          <w:szCs w:val="24"/>
          <w:shd w:val="clear" w:color="auto" w:fill="FFFFFF"/>
        </w:rPr>
        <w:instrText xml:space="preserve"> ADDIN ZOTERO_ITEM CSL_CITATION {"citationID":"HYT03kT6","properties":{"formattedCitation":"(Singh et al., 2013)","plainCitation":"(Singh et al., 2013)","noteIndex":0},"citationItems":[{"id":243,"uris":["http://zotero.org/users/local/Eg2UsBJR/items/JXIXNXBM"],"itemData":{"id":243,"type":"article-journal","container-title":"Journal of Ethnopharmacology","DOI":"10.1016/j.jep.2013.08.051","ISSN":"03788741","issue":"1","journalAbbreviation":"Journal of Ethnopharmacology","language":"en","page":"51-70","source":"DOI.org (Crossref)","title":"Management of diabetic complications: A chemical constituents based approach","title-short":"Management of diabetic complications","volume":"150","author":[{"family":"Singh","given":"Randhir"},{"family":"Kaur","given":"Navpreet"},{"family":"Kishore","given":"Lalit"},{"family":"Kumar Gupta","given":"Girish"}],"issued":{"date-parts":[["2013",10]]}}}],"schema":"https://github.com/citation-style-language/schema/raw/master/csl-citation.json"} </w:instrText>
      </w:r>
      <w:r w:rsidR="008F383A" w:rsidRPr="002646EE">
        <w:rPr>
          <w:rFonts w:ascii="Times New Roman" w:hAnsi="Times New Roman" w:cs="Times New Roman"/>
          <w:color w:val="2B2D38"/>
          <w:sz w:val="24"/>
          <w:szCs w:val="24"/>
          <w:shd w:val="clear" w:color="auto" w:fill="FFFFFF"/>
        </w:rPr>
        <w:fldChar w:fldCharType="separate"/>
      </w:r>
      <w:r w:rsidR="008F383A" w:rsidRPr="002646EE">
        <w:rPr>
          <w:rFonts w:ascii="Times New Roman" w:hAnsi="Times New Roman" w:cs="Times New Roman"/>
          <w:sz w:val="24"/>
          <w:szCs w:val="24"/>
        </w:rPr>
        <w:t>(Singh et al., 2013)</w:t>
      </w:r>
      <w:r w:rsidR="008F383A" w:rsidRPr="002646EE">
        <w:rPr>
          <w:rFonts w:ascii="Times New Roman" w:hAnsi="Times New Roman" w:cs="Times New Roman"/>
          <w:color w:val="2B2D38"/>
          <w:sz w:val="24"/>
          <w:szCs w:val="24"/>
          <w:shd w:val="clear" w:color="auto" w:fill="FFFFFF"/>
        </w:rPr>
        <w:fldChar w:fldCharType="end"/>
      </w:r>
      <w:r w:rsidR="008F383A" w:rsidRPr="002646EE">
        <w:rPr>
          <w:rFonts w:ascii="Times New Roman" w:hAnsi="Times New Roman" w:cs="Times New Roman"/>
          <w:color w:val="2B2D38"/>
          <w:sz w:val="24"/>
          <w:szCs w:val="24"/>
          <w:shd w:val="clear" w:color="auto" w:fill="FFFFFF"/>
        </w:rPr>
        <w:t>. A single plant may contain multiple phytochemicals, and combining several such plants or herbs can result in synergistic pharmacological actions</w:t>
      </w:r>
      <w:r w:rsidRPr="002646EE">
        <w:rPr>
          <w:rFonts w:ascii="Times New Roman" w:hAnsi="Times New Roman" w:cs="Times New Roman"/>
          <w:color w:val="2B2D38"/>
          <w:sz w:val="24"/>
          <w:szCs w:val="24"/>
          <w:shd w:val="clear" w:color="auto" w:fill="FFFFFF"/>
        </w:rPr>
        <w:fldChar w:fldCharType="begin"/>
      </w:r>
      <w:r w:rsidRPr="002646EE">
        <w:rPr>
          <w:rFonts w:ascii="Times New Roman" w:hAnsi="Times New Roman" w:cs="Times New Roman"/>
          <w:color w:val="2B2D38"/>
          <w:sz w:val="24"/>
          <w:szCs w:val="24"/>
          <w:shd w:val="clear" w:color="auto" w:fill="FFFFFF"/>
        </w:rPr>
        <w:instrText xml:space="preserve"> ADDIN ZOTERO_ITEM CSL_CITATION {"citationID":"0YRGQrZY","properties":{"formattedCitation":"(Meena et al., 2009)","plainCitation":"(Meena et al., 2009)","noteIndex":0},"citationItems":[{"id":244,"uris":["http://zotero.org/users/local/Eg2UsBJR/items/9YZ5GJ3S"],"itemData":{"id":244,"type":"article-journal","title":"Plants-herbal wealth as a potential source of ayurvedic drugs","URL":"http://asianjtm.syphu.edu.cn/EN/           http://asianjtm.syphu.edu.cn/EN/Y2009/V4/I4/152","author":[{"family":"Meena","given":"Ajay Kumar"},{"family":"Bansal","given":"Parveen"},{"family":"Kumar","given":"Sanjiv"}],"issued":{"date-parts":[["2009",8,20]]}}}],"schema":"https://github.com/citation-style-language/schema/raw/master/csl-citation.json"} </w:instrText>
      </w:r>
      <w:r w:rsidRPr="002646EE">
        <w:rPr>
          <w:rFonts w:ascii="Times New Roman" w:hAnsi="Times New Roman" w:cs="Times New Roman"/>
          <w:color w:val="2B2D38"/>
          <w:sz w:val="24"/>
          <w:szCs w:val="24"/>
          <w:shd w:val="clear" w:color="auto" w:fill="FFFFFF"/>
        </w:rPr>
        <w:fldChar w:fldCharType="separate"/>
      </w:r>
      <w:r w:rsidRPr="002646EE">
        <w:rPr>
          <w:rFonts w:ascii="Times New Roman" w:hAnsi="Times New Roman" w:cs="Times New Roman"/>
          <w:sz w:val="24"/>
          <w:szCs w:val="24"/>
        </w:rPr>
        <w:t>(Meena et al., 2009)</w:t>
      </w:r>
      <w:r w:rsidRPr="002646EE">
        <w:rPr>
          <w:rFonts w:ascii="Times New Roman" w:hAnsi="Times New Roman" w:cs="Times New Roman"/>
          <w:color w:val="2B2D38"/>
          <w:sz w:val="24"/>
          <w:szCs w:val="24"/>
          <w:shd w:val="clear" w:color="auto" w:fill="FFFFFF"/>
        </w:rPr>
        <w:fldChar w:fldCharType="end"/>
      </w:r>
      <w:r w:rsidRPr="002646EE">
        <w:rPr>
          <w:rFonts w:ascii="Times New Roman" w:hAnsi="Times New Roman" w:cs="Times New Roman"/>
          <w:color w:val="2B2D38"/>
          <w:sz w:val="24"/>
          <w:szCs w:val="24"/>
          <w:shd w:val="clear" w:color="auto" w:fill="FFFFFF"/>
        </w:rPr>
        <w:t>.</w:t>
      </w:r>
    </w:p>
    <w:p w:rsidR="00CB2BBE" w:rsidRPr="002646EE" w:rsidRDefault="00CB2BBE" w:rsidP="00CB2BBE">
      <w:pPr>
        <w:spacing w:after="0" w:line="360" w:lineRule="auto"/>
        <w:jc w:val="both"/>
        <w:rPr>
          <w:rFonts w:ascii="Times New Roman" w:eastAsia="ArialMT" w:hAnsi="Times New Roman" w:cs="Times New Roman"/>
          <w:sz w:val="24"/>
          <w:szCs w:val="24"/>
          <w:lang w:eastAsia="en-IN"/>
        </w:rPr>
      </w:pPr>
      <w:r w:rsidRPr="002646EE">
        <w:rPr>
          <w:rStyle w:val="NormalWebChar"/>
          <w:rFonts w:eastAsia="ArialMT"/>
        </w:rPr>
        <w:t>In this context, the present work is focusing on comparing the glucose and lipid metabolism related mechanism of action of two Ayurvedic polyherbal formulations viz. Nishakathakadi Kashaya and Varanadi Kashaya. Both formulations are previously studied in the lab for their anti-diabetic effects.</w:t>
      </w:r>
    </w:p>
    <w:p w:rsidR="00072683" w:rsidRPr="00072683" w:rsidRDefault="00072683">
      <w:pPr>
        <w:rPr>
          <w:rStyle w:val="NormalWebChar"/>
          <w:rFonts w:eastAsia="ArialMT"/>
        </w:rPr>
      </w:pPr>
      <w:r w:rsidRPr="00072683">
        <w:rPr>
          <w:rStyle w:val="NormalWebChar"/>
          <w:rFonts w:eastAsia="ArialMT"/>
        </w:rPr>
        <w:br w:type="page"/>
      </w:r>
    </w:p>
    <w:p w:rsidR="00CB2BBE" w:rsidRPr="002646EE" w:rsidRDefault="00CB2BBE" w:rsidP="002D6B34">
      <w:pPr>
        <w:pStyle w:val="Heading2"/>
      </w:pPr>
      <w:bookmarkStart w:id="10" w:name="_Toc171420539"/>
      <w:r w:rsidRPr="002646EE">
        <w:lastRenderedPageBreak/>
        <w:t>1.6 Nishakathakadi kashaya</w:t>
      </w:r>
      <w:bookmarkEnd w:id="10"/>
    </w:p>
    <w:p w:rsidR="00CB2BBE" w:rsidRDefault="00C573D0" w:rsidP="00CB2BBE">
      <w:pPr>
        <w:autoSpaceDE w:val="0"/>
        <w:autoSpaceDN w:val="0"/>
        <w:adjustRightInd w:val="0"/>
        <w:spacing w:after="0" w:line="360" w:lineRule="auto"/>
        <w:jc w:val="both"/>
        <w:rPr>
          <w:rFonts w:ascii="Times New Roman" w:eastAsia="ArialMT" w:hAnsi="Times New Roman" w:cs="Times New Roman"/>
          <w:iCs/>
          <w:color w:val="000000"/>
          <w:sz w:val="24"/>
          <w:szCs w:val="24"/>
        </w:rPr>
      </w:pPr>
      <w:r w:rsidRPr="002646EE">
        <w:rPr>
          <w:rStyle w:val="NormalWebChar"/>
          <w:rFonts w:eastAsiaTheme="minorHAnsi"/>
        </w:rPr>
        <w:t xml:space="preserve">Nishakathakadi kashaya is a polyherbal formulation detailed in a classical Ayurvedic text called Sahasrayogam (specifically, in the </w:t>
      </w:r>
      <w:r w:rsidRPr="002646EE">
        <w:rPr>
          <w:rFonts w:ascii="Times New Roman" w:hAnsi="Times New Roman" w:cs="Times New Roman"/>
          <w:i/>
          <w:iCs/>
          <w:color w:val="000000"/>
          <w:sz w:val="24"/>
          <w:szCs w:val="24"/>
        </w:rPr>
        <w:t xml:space="preserve">parishishta prakarana kashayam </w:t>
      </w:r>
      <w:r w:rsidRPr="002646EE">
        <w:rPr>
          <w:rStyle w:val="NormalWebChar"/>
          <w:rFonts w:eastAsiaTheme="minorHAnsi"/>
        </w:rPr>
        <w:t>section).</w:t>
      </w:r>
    </w:p>
    <w:p w:rsidR="0094376E" w:rsidRPr="002646EE" w:rsidRDefault="0094376E" w:rsidP="00CB2BBE">
      <w:pPr>
        <w:autoSpaceDE w:val="0"/>
        <w:autoSpaceDN w:val="0"/>
        <w:adjustRightInd w:val="0"/>
        <w:spacing w:after="0" w:line="360" w:lineRule="auto"/>
        <w:jc w:val="both"/>
        <w:rPr>
          <w:rFonts w:ascii="Times New Roman" w:eastAsia="ArialMT" w:hAnsi="Times New Roman" w:cs="Times New Roman"/>
          <w:iCs/>
          <w:color w:val="000000"/>
          <w:sz w:val="24"/>
          <w:szCs w:val="24"/>
        </w:rPr>
      </w:pPr>
      <w:r>
        <w:rPr>
          <w:rFonts w:ascii="Times New Roman" w:eastAsia="ArialMT" w:hAnsi="Times New Roman" w:cs="Times New Roman"/>
          <w:iCs/>
          <w:noProof/>
          <w:color w:val="000000"/>
          <w:sz w:val="24"/>
          <w:szCs w:val="24"/>
          <w:lang w:eastAsia="en-IN"/>
        </w:rPr>
        <w:drawing>
          <wp:inline distT="0" distB="0" distL="0" distR="0" wp14:anchorId="285648EA">
            <wp:extent cx="4036060" cy="1481455"/>
            <wp:effectExtent l="0" t="0" r="254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6060" cy="1481455"/>
                    </a:xfrm>
                    <a:prstGeom prst="rect">
                      <a:avLst/>
                    </a:prstGeom>
                    <a:noFill/>
                  </pic:spPr>
                </pic:pic>
              </a:graphicData>
            </a:graphic>
          </wp:inline>
        </w:drawing>
      </w:r>
    </w:p>
    <w:p w:rsidR="00CB2BBE" w:rsidRPr="002646EE" w:rsidRDefault="003878D3" w:rsidP="00CB2BBE">
      <w:pPr>
        <w:autoSpaceDE w:val="0"/>
        <w:autoSpaceDN w:val="0"/>
        <w:adjustRightInd w:val="0"/>
        <w:spacing w:after="0" w:line="360" w:lineRule="auto"/>
        <w:jc w:val="both"/>
        <w:rPr>
          <w:rStyle w:val="NormalWebChar"/>
          <w:rFonts w:eastAsia="ArialMT"/>
        </w:rPr>
      </w:pPr>
      <w:r>
        <w:rPr>
          <w:rStyle w:val="NormalWebChar"/>
          <w:rFonts w:eastAsia="ArialMT"/>
        </w:rPr>
        <w:t xml:space="preserve">                                                                                                           </w:t>
      </w:r>
      <w:r w:rsidR="00CB2BBE" w:rsidRPr="002646EE">
        <w:rPr>
          <w:rStyle w:val="NormalWebChar"/>
          <w:rFonts w:eastAsia="ArialMT"/>
        </w:rPr>
        <w:fldChar w:fldCharType="begin"/>
      </w:r>
      <w:r w:rsidR="00CB2BBE" w:rsidRPr="002646EE">
        <w:rPr>
          <w:rStyle w:val="NormalWebChar"/>
          <w:rFonts w:eastAsia="ArialMT"/>
        </w:rPr>
        <w:instrText xml:space="preserve"> ADDIN ZOTERO_ITEM CSL_CITATION {"citationID":"JaWq52sX","properties":{"formattedCitation":"(krishnan &amp; pillai, n.d.)","plainCitation":"(krishnan &amp; pillai, n.d.)","noteIndex":0},"citationItems":[{"id":309,"uris":["http://zotero.org/users/local/Eg2UsBJR/items/MEDNYJNS"],"itemData":{"id":309,"type":"book","number-of-pages":"93","title":"Sahasrayogam sujana priya vyakya","author":[{"family":"krishnan","given":"K.V"},{"family":"pillai","given":"S.gopala"}]}}],"schema":"https://github.com/citation-style-language/schema/raw/master/csl-citation.json"} </w:instrText>
      </w:r>
      <w:r w:rsidR="00CB2BBE" w:rsidRPr="002646EE">
        <w:rPr>
          <w:rStyle w:val="NormalWebChar"/>
          <w:rFonts w:eastAsia="ArialMT"/>
        </w:rPr>
        <w:fldChar w:fldCharType="separate"/>
      </w:r>
      <w:r w:rsidR="00CB2BBE" w:rsidRPr="002646EE">
        <w:rPr>
          <w:rFonts w:ascii="Times New Roman" w:hAnsi="Times New Roman" w:cs="Times New Roman"/>
          <w:sz w:val="24"/>
          <w:szCs w:val="24"/>
        </w:rPr>
        <w:t>(krishnan &amp; pillai, n.d.)</w:t>
      </w:r>
      <w:r w:rsidR="00CB2BBE" w:rsidRPr="002646EE">
        <w:rPr>
          <w:rStyle w:val="NormalWebChar"/>
          <w:rFonts w:eastAsia="ArialMT"/>
        </w:rPr>
        <w:fldChar w:fldCharType="end"/>
      </w:r>
      <w:r w:rsidR="00CB2BBE" w:rsidRPr="002646EE">
        <w:rPr>
          <w:rStyle w:val="NormalWebChar"/>
          <w:rFonts w:eastAsia="ArialMT"/>
        </w:rPr>
        <w:t xml:space="preserve">   </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The above shloka is explaining the ingredients of nishakathakadi formulation and it it is pramehara (anti-diabetic).</w:t>
      </w:r>
      <w:r w:rsidRPr="002646EE">
        <w:rPr>
          <w:rFonts w:ascii="Times New Roman" w:hAnsi="Times New Roman" w:cs="Times New Roman"/>
          <w:sz w:val="24"/>
          <w:szCs w:val="24"/>
        </w:rPr>
        <w:t>The Ayurveda formulation NK chosen for this study is composed of eight herbal ingredients known for their hypoglycemic properties. Various phytochemicals identified in these plants are recognized for their multitargeted mechanisms of action</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{"citationID":"7DmJ9lQo","properties":{"formattedCitation":"(Thottappillil et al., 2023)","plainCitation":"(Thottappillil et al., 2023)","noteIndex":0},"citationItems":[{"id":74,"uris":["http://zotero.org/users/local/Eg2UsBJR/items/4VAJCC2W"],"itemData":{"id":74,"type":"article-journal","container-title":"Journal of Biomolecular Structure and Dynamics","DOI":"10.1080/07391102.2023.2276880","ISSN":"0739-1102, 1538-0254","journalAbbreviation":"Journal of Biomolecular Structure and Dynamics","language":"en","page":"1-15","source":"DOI.org (Crossref)","title":"&lt;i&gt;In vitro&lt;/i&gt; and &lt;i&gt;in silico&lt;/i&gt; analysis proving DPP4 inhibition and diabetes-associated gene network modulation by a polyherbal formulation: &lt;i&gt;Nisakathakadi Kashaya&lt;/i&gt;","title-short":"&lt;i&gt;In vitro&lt;/i&gt; and &lt;i&gt;in silico&lt;/i&gt; analysis proving DPP4 inhibition and diabetes-associated gene network modulation by a polyherbal formulation","author":[{"family":"Thottappillil","given":"Anjana"},{"family":"Sahoo","given":"Sthitaprajna"},{"family":"Chakraborty","given":"Abhijnan"},{"family":"Kouser","given":"Sania"},{"family":"Ravi","given":"Vidhya"},{"family":"Garawadmath","given":"Soumya"},{"family":"Banvi","given":"Pranav"},{"family":"Kukkupuni","given":"Subrahmanya Kumar"},{"family":"Mohan","given":"S Suma"},{"family":"Vishnuprasad","given":"Chethala N."}],"issued":{"date-parts":[["2023",11,8]]}}}],"schema":"https://github.com/citation-style-language/schema/raw/master/csl-citation.json"}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(Thottappillil et al., 2023)</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Style w:val="NormalWebChar"/>
          <w:rFonts w:eastAsia="ArialMT"/>
        </w:rPr>
        <w:t xml:space="preserve">                           </w:t>
      </w:r>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Style w:val="NormalWebChar"/>
          <w:rFonts w:eastAsia="ArialMT"/>
        </w:rPr>
        <w:t xml:space="preserve">                        </w:t>
      </w:r>
    </w:p>
    <w:p w:rsidR="00CB2BBE" w:rsidRPr="002646EE" w:rsidRDefault="00CB2BBE" w:rsidP="00CB2BBE">
      <w:pPr>
        <w:autoSpaceDE w:val="0"/>
        <w:autoSpaceDN w:val="0"/>
        <w:adjustRightInd w:val="0"/>
        <w:spacing w:after="0" w:line="360" w:lineRule="auto"/>
        <w:jc w:val="both"/>
        <w:rPr>
          <w:rStyle w:val="NormalWebChar"/>
          <w:rFonts w:eastAsia="ArialMT"/>
        </w:rPr>
      </w:pPr>
    </w:p>
    <w:p w:rsidR="00CB2BBE" w:rsidRPr="002646EE" w:rsidRDefault="00CB2BBE" w:rsidP="00CB2BBE">
      <w:pPr>
        <w:autoSpaceDE w:val="0"/>
        <w:autoSpaceDN w:val="0"/>
        <w:adjustRightInd w:val="0"/>
        <w:spacing w:after="0" w:line="360" w:lineRule="auto"/>
        <w:jc w:val="both"/>
        <w:rPr>
          <w:rStyle w:val="NormalWebChar"/>
          <w:rFonts w:eastAsia="ArialMT"/>
        </w:rPr>
      </w:pPr>
    </w:p>
    <w:p w:rsidR="00CB2BBE" w:rsidRPr="002646EE" w:rsidRDefault="00CB2BBE" w:rsidP="00CB2BBE">
      <w:pPr>
        <w:autoSpaceDE w:val="0"/>
        <w:autoSpaceDN w:val="0"/>
        <w:adjustRightInd w:val="0"/>
        <w:spacing w:after="0" w:line="360" w:lineRule="auto"/>
        <w:jc w:val="both"/>
        <w:rPr>
          <w:rStyle w:val="NormalWebChar"/>
          <w:rFonts w:eastAsia="ArialMT"/>
        </w:rPr>
      </w:pPr>
    </w:p>
    <w:p w:rsidR="00CB2BBE" w:rsidRPr="002646EE" w:rsidRDefault="00CB2BBE" w:rsidP="00CB2BBE">
      <w:pPr>
        <w:autoSpaceDE w:val="0"/>
        <w:autoSpaceDN w:val="0"/>
        <w:adjustRightInd w:val="0"/>
        <w:spacing w:after="0" w:line="360" w:lineRule="auto"/>
        <w:jc w:val="both"/>
        <w:rPr>
          <w:rStyle w:val="NormalWebChar"/>
          <w:rFonts w:eastAsia="ArialMT"/>
        </w:rPr>
      </w:pPr>
    </w:p>
    <w:p w:rsidR="00CB2BBE" w:rsidRPr="002646EE" w:rsidRDefault="00CB2BBE" w:rsidP="00CB2BBE">
      <w:pPr>
        <w:autoSpaceDE w:val="0"/>
        <w:autoSpaceDN w:val="0"/>
        <w:adjustRightInd w:val="0"/>
        <w:spacing w:after="0" w:line="360" w:lineRule="auto"/>
        <w:jc w:val="both"/>
        <w:rPr>
          <w:rStyle w:val="NormalWebChar"/>
          <w:rFonts w:eastAsia="ArialMT"/>
        </w:rPr>
        <w:sectPr w:rsidR="00CB2BBE" w:rsidRPr="002646EE" w:rsidSect="00E05836">
          <w:headerReference w:type="default" r:id="rId13"/>
          <w:pgSz w:w="11906" w:h="16838"/>
          <w:pgMar w:top="1440" w:right="1440" w:bottom="1440" w:left="1440" w:header="708" w:footer="708" w:gutter="0"/>
          <w:pgNumType w:start="1"/>
          <w:cols w:space="708"/>
          <w:docGrid w:linePitch="360"/>
        </w:sectPr>
      </w:pPr>
    </w:p>
    <w:p w:rsidR="00CB2BBE" w:rsidRPr="002646EE" w:rsidRDefault="00CB2BBE" w:rsidP="00765E7D">
      <w:pPr>
        <w:rPr>
          <w:rFonts w:ascii="Times New Roman" w:hAnsi="Times New Roman" w:cs="Times New Roman"/>
          <w:b/>
          <w:bCs/>
          <w:sz w:val="24"/>
          <w:szCs w:val="24"/>
        </w:rPr>
      </w:pPr>
      <w:r w:rsidRPr="002646EE">
        <w:rPr>
          <w:rFonts w:ascii="Times New Roman" w:hAnsi="Times New Roman" w:cs="Times New Roman"/>
          <w:b/>
          <w:bCs/>
          <w:sz w:val="24"/>
          <w:szCs w:val="24"/>
        </w:rPr>
        <w:lastRenderedPageBreak/>
        <w:t xml:space="preserve">                                            </w:t>
      </w:r>
      <w:r w:rsidR="00765E7D" w:rsidRPr="002646EE">
        <w:rPr>
          <w:rFonts w:ascii="Times New Roman" w:hAnsi="Times New Roman" w:cs="Times New Roman"/>
          <w:b/>
          <w:bCs/>
          <w:sz w:val="24"/>
          <w:szCs w:val="24"/>
        </w:rPr>
        <w:t xml:space="preserve">                     </w:t>
      </w:r>
      <w:r w:rsidRPr="002646EE">
        <w:rPr>
          <w:rFonts w:ascii="Times New Roman" w:hAnsi="Times New Roman" w:cs="Times New Roman"/>
          <w:b/>
          <w:bCs/>
          <w:sz w:val="24"/>
          <w:szCs w:val="24"/>
        </w:rPr>
        <w:t>TABLE 1.  Ingredients and Properties of Nishakathakadi formulation</w:t>
      </w:r>
    </w:p>
    <w:tbl>
      <w:tblPr>
        <w:tblStyle w:val="TableGrid"/>
        <w:tblW w:w="11410" w:type="dxa"/>
        <w:tblInd w:w="2131" w:type="dxa"/>
        <w:tblLayout w:type="fixed"/>
        <w:tblLook w:val="04A0" w:firstRow="1" w:lastRow="0" w:firstColumn="1" w:lastColumn="0" w:noHBand="0" w:noVBand="1"/>
      </w:tblPr>
      <w:tblGrid>
        <w:gridCol w:w="1843"/>
        <w:gridCol w:w="1701"/>
        <w:gridCol w:w="1701"/>
        <w:gridCol w:w="1278"/>
        <w:gridCol w:w="1850"/>
        <w:gridCol w:w="1927"/>
        <w:gridCol w:w="1110"/>
      </w:tblGrid>
      <w:tr w:rsidR="00CB2BBE" w:rsidRPr="002646EE" w:rsidTr="0089116E">
        <w:tc>
          <w:tcPr>
            <w:tcW w:w="1843" w:type="dxa"/>
            <w:shd w:val="clear" w:color="auto" w:fill="FFF2CC" w:themeFill="accent4" w:themeFillTint="33"/>
            <w:vAlign w:val="bottom"/>
          </w:tcPr>
          <w:p w:rsidR="00CB2BBE" w:rsidRPr="002646EE" w:rsidRDefault="00CB2BBE" w:rsidP="00A84C31">
            <w:pPr>
              <w:rPr>
                <w:rFonts w:ascii="Times New Roman" w:hAnsi="Times New Roman" w:cs="Times New Roman"/>
                <w:b/>
                <w:bCs/>
                <w:sz w:val="24"/>
                <w:szCs w:val="24"/>
              </w:rPr>
            </w:pPr>
            <w:r w:rsidRPr="002646EE">
              <w:rPr>
                <w:rFonts w:ascii="Times New Roman" w:hAnsi="Times New Roman" w:cs="Times New Roman"/>
                <w:b/>
                <w:bCs/>
                <w:sz w:val="24"/>
                <w:szCs w:val="24"/>
              </w:rPr>
              <w:t>Botanical name</w:t>
            </w:r>
          </w:p>
        </w:tc>
        <w:tc>
          <w:tcPr>
            <w:tcW w:w="1701" w:type="dxa"/>
            <w:shd w:val="clear" w:color="auto" w:fill="FFF2CC" w:themeFill="accent4" w:themeFillTint="33"/>
            <w:vAlign w:val="bottom"/>
          </w:tcPr>
          <w:p w:rsidR="00CB2BBE" w:rsidRPr="002646EE" w:rsidRDefault="00CB2BBE" w:rsidP="00A84C31">
            <w:pPr>
              <w:rPr>
                <w:rFonts w:ascii="Times New Roman" w:hAnsi="Times New Roman" w:cs="Times New Roman"/>
                <w:b/>
                <w:bCs/>
                <w:sz w:val="24"/>
                <w:szCs w:val="24"/>
              </w:rPr>
            </w:pPr>
            <w:r w:rsidRPr="002646EE">
              <w:rPr>
                <w:rFonts w:ascii="Times New Roman" w:hAnsi="Times New Roman" w:cs="Times New Roman"/>
                <w:b/>
                <w:bCs/>
                <w:sz w:val="24"/>
                <w:szCs w:val="24"/>
              </w:rPr>
              <w:t>Parts used</w:t>
            </w:r>
          </w:p>
        </w:tc>
        <w:tc>
          <w:tcPr>
            <w:tcW w:w="1701" w:type="dxa"/>
            <w:shd w:val="clear" w:color="auto" w:fill="FFF2CC" w:themeFill="accent4" w:themeFillTint="33"/>
            <w:vAlign w:val="bottom"/>
          </w:tcPr>
          <w:p w:rsidR="00CB2BBE" w:rsidRPr="002646EE" w:rsidRDefault="00CB2BBE" w:rsidP="00A84C31">
            <w:pPr>
              <w:rPr>
                <w:rFonts w:ascii="Times New Roman" w:hAnsi="Times New Roman" w:cs="Times New Roman"/>
                <w:b/>
                <w:bCs/>
                <w:sz w:val="24"/>
                <w:szCs w:val="24"/>
              </w:rPr>
            </w:pPr>
            <w:r w:rsidRPr="002646EE">
              <w:rPr>
                <w:rFonts w:ascii="Times New Roman" w:hAnsi="Times New Roman" w:cs="Times New Roman"/>
                <w:b/>
                <w:bCs/>
                <w:sz w:val="24"/>
                <w:szCs w:val="24"/>
              </w:rPr>
              <w:t>Sanskrit name</w:t>
            </w:r>
          </w:p>
        </w:tc>
        <w:tc>
          <w:tcPr>
            <w:tcW w:w="1278" w:type="dxa"/>
            <w:shd w:val="clear" w:color="auto" w:fill="FFF2CC" w:themeFill="accent4" w:themeFillTint="33"/>
            <w:vAlign w:val="bottom"/>
          </w:tcPr>
          <w:p w:rsidR="00CB2BBE" w:rsidRPr="002646EE" w:rsidRDefault="00CB2BBE" w:rsidP="00A84C31">
            <w:pPr>
              <w:rPr>
                <w:rFonts w:ascii="Times New Roman" w:hAnsi="Times New Roman" w:cs="Times New Roman"/>
                <w:b/>
                <w:bCs/>
                <w:i/>
                <w:color w:val="000000"/>
                <w:sz w:val="24"/>
                <w:szCs w:val="24"/>
              </w:rPr>
            </w:pPr>
            <w:r w:rsidRPr="002646EE">
              <w:rPr>
                <w:rFonts w:ascii="Times New Roman" w:hAnsi="Times New Roman" w:cs="Times New Roman"/>
                <w:b/>
                <w:bCs/>
                <w:i/>
                <w:color w:val="000000"/>
                <w:sz w:val="24"/>
                <w:szCs w:val="24"/>
              </w:rPr>
              <w:t>Rasa (Taste)</w:t>
            </w:r>
          </w:p>
        </w:tc>
        <w:tc>
          <w:tcPr>
            <w:tcW w:w="1850" w:type="dxa"/>
            <w:shd w:val="clear" w:color="auto" w:fill="FFF2CC" w:themeFill="accent4" w:themeFillTint="33"/>
            <w:vAlign w:val="bottom"/>
          </w:tcPr>
          <w:p w:rsidR="00CB2BBE" w:rsidRPr="002646EE" w:rsidRDefault="00CB2BBE" w:rsidP="00A84C31">
            <w:pPr>
              <w:rPr>
                <w:rFonts w:ascii="Times New Roman" w:hAnsi="Times New Roman" w:cs="Times New Roman"/>
                <w:b/>
                <w:bCs/>
                <w:i/>
                <w:color w:val="000000"/>
                <w:sz w:val="24"/>
                <w:szCs w:val="24"/>
              </w:rPr>
            </w:pPr>
            <w:r w:rsidRPr="002646EE">
              <w:rPr>
                <w:rFonts w:ascii="Times New Roman" w:hAnsi="Times New Roman" w:cs="Times New Roman"/>
                <w:b/>
                <w:bCs/>
                <w:i/>
                <w:color w:val="000000"/>
                <w:sz w:val="24"/>
                <w:szCs w:val="24"/>
              </w:rPr>
              <w:t>Guna(quality)</w:t>
            </w:r>
          </w:p>
        </w:tc>
        <w:tc>
          <w:tcPr>
            <w:tcW w:w="1927" w:type="dxa"/>
            <w:shd w:val="clear" w:color="auto" w:fill="FFF2CC" w:themeFill="accent4" w:themeFillTint="33"/>
            <w:vAlign w:val="bottom"/>
          </w:tcPr>
          <w:p w:rsidR="00CB2BBE" w:rsidRPr="002646EE" w:rsidRDefault="00CB2BBE" w:rsidP="00A84C31">
            <w:pPr>
              <w:rPr>
                <w:rFonts w:ascii="Times New Roman" w:hAnsi="Times New Roman" w:cs="Times New Roman"/>
                <w:b/>
                <w:bCs/>
                <w:i/>
                <w:color w:val="000000"/>
                <w:sz w:val="24"/>
                <w:szCs w:val="24"/>
              </w:rPr>
            </w:pPr>
            <w:r w:rsidRPr="002646EE">
              <w:rPr>
                <w:rFonts w:ascii="Times New Roman" w:hAnsi="Times New Roman" w:cs="Times New Roman"/>
                <w:b/>
                <w:bCs/>
                <w:i/>
                <w:color w:val="000000"/>
                <w:sz w:val="24"/>
                <w:szCs w:val="24"/>
              </w:rPr>
              <w:t>Virya(potency)</w:t>
            </w:r>
          </w:p>
        </w:tc>
        <w:tc>
          <w:tcPr>
            <w:tcW w:w="1110" w:type="dxa"/>
            <w:shd w:val="clear" w:color="auto" w:fill="FFF2CC" w:themeFill="accent4" w:themeFillTint="33"/>
            <w:vAlign w:val="bottom"/>
          </w:tcPr>
          <w:p w:rsidR="00CB2BBE" w:rsidRPr="002646EE" w:rsidRDefault="00CB2BBE" w:rsidP="00A84C31">
            <w:pPr>
              <w:rPr>
                <w:rFonts w:ascii="Times New Roman" w:hAnsi="Times New Roman" w:cs="Times New Roman"/>
                <w:b/>
                <w:bCs/>
                <w:i/>
                <w:color w:val="000000"/>
                <w:sz w:val="24"/>
                <w:szCs w:val="24"/>
              </w:rPr>
            </w:pPr>
            <w:r w:rsidRPr="002646EE">
              <w:rPr>
                <w:rFonts w:ascii="Times New Roman" w:hAnsi="Times New Roman" w:cs="Times New Roman"/>
                <w:b/>
                <w:bCs/>
                <w:i/>
                <w:color w:val="000000"/>
                <w:sz w:val="24"/>
                <w:szCs w:val="24"/>
              </w:rPr>
              <w:t>Vipaka</w:t>
            </w:r>
          </w:p>
        </w:tc>
      </w:tr>
      <w:tr w:rsidR="00CB2BBE" w:rsidRPr="002646EE" w:rsidTr="00A84C31">
        <w:tc>
          <w:tcPr>
            <w:tcW w:w="1843"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Curcuma longa</w:t>
            </w:r>
          </w:p>
        </w:tc>
        <w:tc>
          <w:tcPr>
            <w:tcW w:w="1701" w:type="dxa"/>
            <w:vAlign w:val="bottom"/>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Rhizome</w:t>
            </w:r>
          </w:p>
        </w:tc>
        <w:tc>
          <w:tcPr>
            <w:tcW w:w="1701"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Nisha</w:t>
            </w:r>
          </w:p>
        </w:tc>
        <w:tc>
          <w:tcPr>
            <w:tcW w:w="1278"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Tikta, katu</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Ruksha, Laghu </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Ushna</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 Katu</w:t>
            </w:r>
          </w:p>
        </w:tc>
      </w:tr>
      <w:tr w:rsidR="00CB2BBE" w:rsidRPr="002646EE" w:rsidTr="00A84C31">
        <w:tc>
          <w:tcPr>
            <w:tcW w:w="1843" w:type="dxa"/>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Strychnous potatorum</w:t>
            </w:r>
          </w:p>
        </w:tc>
        <w:tc>
          <w:tcPr>
            <w:tcW w:w="1701" w:type="dxa"/>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Seed</w:t>
            </w:r>
          </w:p>
        </w:tc>
        <w:tc>
          <w:tcPr>
            <w:tcW w:w="1701" w:type="dxa"/>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Kataka</w:t>
            </w:r>
          </w:p>
        </w:tc>
        <w:tc>
          <w:tcPr>
            <w:tcW w:w="1278"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Madhura, Kashaya, Tikta</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Laghu, Vishada</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Sheetha</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Madhura</w:t>
            </w:r>
          </w:p>
        </w:tc>
      </w:tr>
      <w:tr w:rsidR="00CB2BBE" w:rsidRPr="002646EE" w:rsidTr="00A84C31">
        <w:tc>
          <w:tcPr>
            <w:tcW w:w="1843"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Ixora coccinea</w:t>
            </w:r>
          </w:p>
        </w:tc>
        <w:tc>
          <w:tcPr>
            <w:tcW w:w="1701" w:type="dxa"/>
            <w:vAlign w:val="bottom"/>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root/stem</w:t>
            </w:r>
          </w:p>
        </w:tc>
        <w:tc>
          <w:tcPr>
            <w:tcW w:w="1701"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Paranti</w:t>
            </w:r>
          </w:p>
        </w:tc>
        <w:tc>
          <w:tcPr>
            <w:tcW w:w="1278"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Kashaya, Tikta</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Laghu</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Sheetha</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Katu</w:t>
            </w:r>
          </w:p>
        </w:tc>
      </w:tr>
      <w:tr w:rsidR="00CB2BBE" w:rsidRPr="002646EE" w:rsidTr="00A84C31">
        <w:tc>
          <w:tcPr>
            <w:tcW w:w="1843"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Symplocos racemose</w:t>
            </w:r>
          </w:p>
        </w:tc>
        <w:tc>
          <w:tcPr>
            <w:tcW w:w="1701" w:type="dxa"/>
            <w:vAlign w:val="bottom"/>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stem bark</w:t>
            </w:r>
          </w:p>
        </w:tc>
        <w:tc>
          <w:tcPr>
            <w:tcW w:w="1701"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Lodhra</w:t>
            </w:r>
          </w:p>
        </w:tc>
        <w:tc>
          <w:tcPr>
            <w:tcW w:w="1278"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Kashaya</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Laghu, Ruksha</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Sheetha</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Katu</w:t>
            </w:r>
          </w:p>
        </w:tc>
      </w:tr>
      <w:tr w:rsidR="00CB2BBE" w:rsidRPr="002646EE" w:rsidTr="00A84C31">
        <w:tc>
          <w:tcPr>
            <w:tcW w:w="1843"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Emblica officinalis</w:t>
            </w:r>
          </w:p>
        </w:tc>
        <w:tc>
          <w:tcPr>
            <w:tcW w:w="1701" w:type="dxa"/>
            <w:vAlign w:val="bottom"/>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Fruit</w:t>
            </w:r>
          </w:p>
        </w:tc>
        <w:tc>
          <w:tcPr>
            <w:tcW w:w="1701"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Amalaki</w:t>
            </w:r>
          </w:p>
        </w:tc>
        <w:tc>
          <w:tcPr>
            <w:tcW w:w="1278" w:type="dxa"/>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Katu, tikta ,kashaya, madhura, amlapradhana</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Guru, Ruksha  </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  Sheehta </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Madhura</w:t>
            </w:r>
          </w:p>
        </w:tc>
      </w:tr>
      <w:tr w:rsidR="00CB2BBE" w:rsidRPr="002646EE" w:rsidTr="00A84C31">
        <w:tc>
          <w:tcPr>
            <w:tcW w:w="1843"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Aerva lanata juss</w:t>
            </w:r>
          </w:p>
        </w:tc>
        <w:tc>
          <w:tcPr>
            <w:tcW w:w="1701" w:type="dxa"/>
            <w:vAlign w:val="bottom"/>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entire plant</w:t>
            </w:r>
          </w:p>
        </w:tc>
        <w:tc>
          <w:tcPr>
            <w:tcW w:w="1701"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Gorakshaganja</w:t>
            </w:r>
          </w:p>
        </w:tc>
        <w:tc>
          <w:tcPr>
            <w:tcW w:w="1278"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Kashaya, Tikta</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Laghu, Tikshna</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Ushna </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Katu</w:t>
            </w:r>
          </w:p>
        </w:tc>
      </w:tr>
      <w:tr w:rsidR="00CB2BBE" w:rsidRPr="002646EE" w:rsidTr="00A84C31">
        <w:tc>
          <w:tcPr>
            <w:tcW w:w="1843"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Salacia reticulata wight</w:t>
            </w:r>
          </w:p>
        </w:tc>
        <w:tc>
          <w:tcPr>
            <w:tcW w:w="1701" w:type="dxa"/>
            <w:vAlign w:val="bottom"/>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stem/root</w:t>
            </w:r>
          </w:p>
        </w:tc>
        <w:tc>
          <w:tcPr>
            <w:tcW w:w="1701"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Saptachakra</w:t>
            </w:r>
          </w:p>
        </w:tc>
        <w:tc>
          <w:tcPr>
            <w:tcW w:w="1278"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Kashaya, Tikta</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Laghu, Ruksha </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 Ushna</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 xml:space="preserve"> Katu</w:t>
            </w:r>
          </w:p>
        </w:tc>
      </w:tr>
      <w:tr w:rsidR="00CB2BBE" w:rsidRPr="002646EE" w:rsidTr="00A84C31">
        <w:tc>
          <w:tcPr>
            <w:tcW w:w="1843"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Vetiveria zizanioides</w:t>
            </w:r>
          </w:p>
        </w:tc>
        <w:tc>
          <w:tcPr>
            <w:tcW w:w="1701" w:type="dxa"/>
            <w:vAlign w:val="bottom"/>
          </w:tcPr>
          <w:p w:rsidR="00CB2BBE" w:rsidRPr="002646EE" w:rsidRDefault="00CB2BBE" w:rsidP="00A84C31">
            <w:pPr>
              <w:rPr>
                <w:rFonts w:ascii="Times New Roman" w:hAnsi="Times New Roman" w:cs="Times New Roman"/>
                <w:iCs/>
                <w:color w:val="000000"/>
                <w:sz w:val="24"/>
                <w:szCs w:val="24"/>
              </w:rPr>
            </w:pPr>
            <w:r w:rsidRPr="002646EE">
              <w:rPr>
                <w:rFonts w:ascii="Times New Roman" w:hAnsi="Times New Roman" w:cs="Times New Roman"/>
                <w:iCs/>
                <w:color w:val="000000"/>
                <w:sz w:val="24"/>
                <w:szCs w:val="24"/>
              </w:rPr>
              <w:t>Root</w:t>
            </w:r>
          </w:p>
        </w:tc>
        <w:tc>
          <w:tcPr>
            <w:tcW w:w="1701" w:type="dxa"/>
            <w:vAlign w:val="bottom"/>
          </w:tcPr>
          <w:p w:rsidR="00CB2BBE" w:rsidRPr="002646EE" w:rsidRDefault="00CB2BBE" w:rsidP="00A84C31">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Usheera</w:t>
            </w:r>
          </w:p>
        </w:tc>
        <w:tc>
          <w:tcPr>
            <w:tcW w:w="1278"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Tikta, Madhura</w:t>
            </w:r>
          </w:p>
        </w:tc>
        <w:tc>
          <w:tcPr>
            <w:tcW w:w="185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Ruksha, Laghu</w:t>
            </w:r>
          </w:p>
        </w:tc>
        <w:tc>
          <w:tcPr>
            <w:tcW w:w="1927"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Seeta</w:t>
            </w:r>
          </w:p>
        </w:tc>
        <w:tc>
          <w:tcPr>
            <w:tcW w:w="1110" w:type="dxa"/>
            <w:vAlign w:val="bottom"/>
          </w:tcPr>
          <w:p w:rsidR="00CB2BBE" w:rsidRPr="002646EE" w:rsidRDefault="00CB2BBE" w:rsidP="00A84C31">
            <w:pPr>
              <w:rPr>
                <w:rFonts w:ascii="Times New Roman" w:hAnsi="Times New Roman" w:cs="Times New Roman"/>
                <w:i/>
                <w:color w:val="000000"/>
                <w:sz w:val="24"/>
                <w:szCs w:val="24"/>
              </w:rPr>
            </w:pPr>
            <w:r w:rsidRPr="002646EE">
              <w:rPr>
                <w:rFonts w:ascii="Times New Roman" w:hAnsi="Times New Roman" w:cs="Times New Roman"/>
                <w:i/>
                <w:color w:val="000000"/>
                <w:sz w:val="24"/>
                <w:szCs w:val="24"/>
              </w:rPr>
              <w:t>Katu</w:t>
            </w:r>
          </w:p>
        </w:tc>
      </w:tr>
    </w:tbl>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sectPr w:rsidR="00CB2BBE" w:rsidRPr="002646EE" w:rsidSect="00A84C31">
          <w:pgSz w:w="16838" w:h="11906" w:orient="landscape"/>
          <w:pgMar w:top="1440" w:right="1440" w:bottom="1440" w:left="1440" w:header="708" w:footer="708" w:gutter="0"/>
          <w:cols w:space="708"/>
          <w:docGrid w:linePitch="360"/>
        </w:sectPr>
      </w:pPr>
      <w:r w:rsidRPr="002646EE">
        <w:rPr>
          <w:rFonts w:ascii="Times New Roman" w:eastAsia="ArialMT" w:hAnsi="Times New Roman" w:cs="Times New Roman"/>
          <w:b/>
          <w:sz w:val="24"/>
          <w:szCs w:val="24"/>
        </w:rPr>
        <w:t xml:space="preserve">             </w:t>
      </w:r>
    </w:p>
    <w:p w:rsidR="00CB2BBE" w:rsidRPr="002646EE" w:rsidRDefault="00CB2BBE" w:rsidP="002D6B34">
      <w:pPr>
        <w:pStyle w:val="Heading2"/>
      </w:pPr>
      <w:bookmarkStart w:id="11" w:name="_Toc171420540"/>
      <w:r w:rsidRPr="002646EE">
        <w:lastRenderedPageBreak/>
        <w:t>Ayurvedic pharmacological action and anti-diabetic action of each ingredient of NK</w:t>
      </w:r>
      <w:bookmarkEnd w:id="11"/>
    </w:p>
    <w:p w:rsidR="004803EF" w:rsidRPr="002646EE" w:rsidRDefault="004803EF" w:rsidP="004803EF">
      <w:pPr>
        <w:rPr>
          <w:rFonts w:ascii="Times New Roman" w:hAnsi="Times New Roman" w:cs="Times New Roman"/>
          <w:sz w:val="24"/>
          <w:szCs w:val="24"/>
        </w:rPr>
      </w:pPr>
    </w:p>
    <w:p w:rsidR="00CB2BBE" w:rsidRPr="002646EE" w:rsidRDefault="00CB2BBE" w:rsidP="004803EF">
      <w:pPr>
        <w:rPr>
          <w:rFonts w:ascii="Times New Roman" w:hAnsi="Times New Roman" w:cs="Times New Roman"/>
          <w:b/>
          <w:bCs/>
          <w:i/>
          <w:iCs/>
          <w:color w:val="000000"/>
          <w:sz w:val="24"/>
          <w:szCs w:val="24"/>
        </w:rPr>
      </w:pPr>
      <w:r w:rsidRPr="002646EE">
        <w:rPr>
          <w:rFonts w:ascii="Times New Roman" w:hAnsi="Times New Roman" w:cs="Times New Roman"/>
          <w:b/>
          <w:bCs/>
          <w:i/>
          <w:iCs/>
          <w:color w:val="000000"/>
          <w:sz w:val="24"/>
          <w:szCs w:val="24"/>
        </w:rPr>
        <w:t>Nisha (Curcuma longa)</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Style w:val="NormalWebChar"/>
          <w:rFonts w:eastAsiaTheme="minorHAnsi"/>
        </w:rPr>
        <w:t xml:space="preserve">Haridra, also known as Curcuma longa, is prominently featured in various Nighantus, which highlight its distinct characteristics. It is described as possessing the Katu (Pungent) and Tikta rasa (Bitter) tastes, along with Ruksha guna (Non-unctuousness), Ushna veerya (Heat), and Kaphapitta shamaka properties. While some Nighantus solely attribute the Tikta rasa and Kapha-Vata-Rakta shamaka properties to Haridra. The efficacy of a medicinal herb lies in its ability to exert local and general effects through its taste (Rasa), properties (Guna), and specific therapeutic actions facilitated by its post-digestive effect (Vipaka) and potency (Veerya). Haridra finds application in the management of Meha, characterized by increased urine frequency and turbidity </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{"citationID":"rFu4ORni","properties":{"formattedCitation":"(Sojeetra et al., 2019)","plainCitation":"(Sojeetra et al., 2019)","noteIndex":0},"citationItems":[{"id":228,"uris":["http://zotero.org/users/local/Eg2UsBJR/items/L5MC2IDL"],"itemData":{"id":228,"type":"article-journal","abstract":"Haridra, (Curcuma longa Linn.,Zingiberaceae), has been well documented in Ayurvedic pharmacopoeias which includes\nSamhita (treatise), Nighantus (lexicons), Chikitsagrantha (compendia of Ayurveda) and Rasagrantha (compendia related\nto alchemy ). This paper provides a collective information regarding Haridra, its morphological characters, properties and\nactions, from Nighantu, Samhita and Rasagrantha. The study reveals that plant Haridra has about eighty synonyms(\nparyaya), highlighting its morphological characters and pharmacological properties. It is attributed with properties like\nDahahara (alleviating burning sensation), Rujahara (alleviating pain), Varnya (complexion promoter) and Vishodhana\n(cleansing of the body)etc. As a single drug, Haridra is indicated in about fifteen clinical conditions inclusive of Prameha\n(increased frequency and turbidity of urine), Kustha (diseases of skin), Pandu (anemia), Visha (poisoning), Vrana (Ulcer)\netc. Haridra is used for Shodhana (processing), Marana (calcination) and Jarana (incineration) of various metals and\ngems in Indian alchemy. This review may enrich to documentary research and may provide collective and detailed information\nabout Haridra as is presented in ayurvedic classical texts .","title":"Haridra (Curcuma longa linn.) Depiction in Ayurvedic and Indian Alchemy (Rasashastra) Literature: A Classical Memoir","URL":"https://www.bibliomed.org/mnsfulltext/70/70-1528824990.pdf?1717572061","volume":"Annals of Ayurvedic Medicine Vol-8","author":[{"family":"Sojeetra","given":"Niral Hansrajbhai"},{"family":"Buha","given":"Mital M"},{"family":"Acharya","given":"","suffix":"Rabinarayan"}],"issued":{"date-parts":[["2019",5,2]]}}}],"schema":"https://github.com/citation-style-language/schema/raw/master/csl-citation.json"}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(Sojeetra et al., 2019)</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Fonts w:ascii="Times New Roman" w:hAnsi="Times New Roman" w:cs="Times New Roman"/>
          <w:color w:val="0D0D0D"/>
          <w:sz w:val="24"/>
          <w:szCs w:val="24"/>
          <w:shd w:val="clear" w:color="auto" w:fill="FFFFFF"/>
        </w:rPr>
        <w:t xml:space="preserve">Administering a methanolic extract of Curcuma longa (C. longa) to alloxan-induced diabetic rabbits significantly improved serum glucose levels, serum transaminases, and antioxidant activity. The aqueous extract of C. longa induced a stepwise increase in glucose uptake from abdominal muscle tissues both with and without insulin; notably, combining the extract with insulin significantly enhanced this glucose uptake. </w:t>
      </w:r>
      <w:r w:rsidR="00C573D0" w:rsidRPr="002646EE">
        <w:rPr>
          <w:rFonts w:ascii="Times New Roman" w:hAnsi="Times New Roman" w:cs="Times New Roman"/>
          <w:sz w:val="24"/>
          <w:szCs w:val="24"/>
        </w:rPr>
        <w:t>Moreover, the water-based extract prompted insulin release from mouse pancreatic tissues in both normal and hyperglycemic states. However, its peak impact reached only 68% of tolbutamide, the reference compound.</w:t>
      </w:r>
      <w:r w:rsidR="00A05AF4" w:rsidRPr="002646EE">
        <w:rPr>
          <w:rFonts w:ascii="Times New Roman" w:hAnsi="Times New Roman" w:cs="Times New Roman"/>
          <w:sz w:val="24"/>
          <w:szCs w:val="24"/>
        </w:rPr>
        <w:t>The extract consistently triggered a gradual increase in glucose uptake from abdominal muscle tissues, both with and without insulin and showed a notable enhancement when combined with insulin.</w:t>
      </w:r>
      <w:r w:rsidRPr="002646EE">
        <w:rPr>
          <w:rFonts w:ascii="Times New Roman" w:hAnsi="Times New Roman" w:cs="Times New Roman"/>
          <w:color w:val="0D0D0D"/>
          <w:sz w:val="24"/>
          <w:szCs w:val="24"/>
          <w:shd w:val="clear" w:color="auto" w:fill="FFFFFF"/>
        </w:rPr>
        <w:t>, with a significant increase when combined with insulin</w:t>
      </w:r>
      <w:r w:rsidRPr="002646EE">
        <w:rPr>
          <w:rFonts w:ascii="Times New Roman" w:hAnsi="Times New Roman" w:cs="Times New Roman"/>
          <w:color w:val="0D0D0D"/>
          <w:sz w:val="24"/>
          <w:szCs w:val="24"/>
          <w:shd w:val="clear" w:color="auto" w:fill="FFFFFF"/>
        </w:rPr>
        <w:fldChar w:fldCharType="begin"/>
      </w:r>
      <w:r w:rsidRPr="002646EE">
        <w:rPr>
          <w:rFonts w:ascii="Times New Roman" w:hAnsi="Times New Roman" w:cs="Times New Roman"/>
          <w:color w:val="0D0D0D"/>
          <w:sz w:val="24"/>
          <w:szCs w:val="24"/>
          <w:shd w:val="clear" w:color="auto" w:fill="FFFFFF"/>
        </w:rPr>
        <w:instrText xml:space="preserve"> ADDIN ZOTERO_ITEM CSL_CITATION {"citationID":"k0Z4IfeR","properties":{"formattedCitation":"(Mohankumar &amp; McFarlane, 2011)","plainCitation":"(Mohankumar &amp; McFarlane, 2011)","noteIndex":0},"citationItems":[{"id":209,"uris":["http://zotero.org/users/local/Eg2UsBJR/items/W8U3C9PR"],"itemData":{"id":209,"type":"article-journal","abstract":"Abstract\n            \n              Curcuma longa\n              (turmeric) has been used widely as a spice, particularly in Asian countries. It is also used in the Ayurvedic system of medicine as an antiinflammatory and antimicrobial agent and for numerous other curative properties. The aim of this study was to investigate the effects of an aqueous extract of\n              Curcuma longa\n              (AEC) on tissues involved in glucose homeostasis. The extract was prepared by soaking 100 g of ground turmeric in 1 L of water, which was filtered and stored at −20°C prior to use. Pancreas and muscle tissues of adult mice were cultured in DMEM with 5 or 12 mmol/L glucose and varying doses of extract. The AEC stimulated insulin secretion from mouse pancreatic tissues under both basal and hyperglycaemic conditions, although the maximum effect was only 68% of that of tolbutamide. The AEC induced stepwise stimulation of glucose uptake from abdominal muscle tissues in the presence and absence of insulin, and the combination of AEC and insulin significantly potentiated the glucose uptake into abdominal muscle tissue. However, this effect was attenuated by wortmannin, suggesting that AEC possibly acts via the insulin‐mediated glucose uptake pathway. In summary, water soluble compounds of turmeric exhibit insulin releasing and mimicking actions within\n              in vitro\n              tissue culture conditions. Copyright © 2010 John Wiley &amp; Sons, Ltd.","container-title":"Phytotherapy Research","DOI":"10.1002/ptr.3275","ISSN":"0951-418X, 1099-1573","issue":"3","journalAbbreviation":"Phytotherapy Research","language":"en","license":"http://onlinelibrary.wiley.com/termsAndConditions#vor","page":"396-401","source":"DOI.org (Crossref)","title":"An aqueous extract of &lt;i&gt;Curcuma longa&lt;/i&gt; (turmeric) rhizomes stimulates insulin release and mimics insulin action on tissues involved in glucose homeostasis &lt;i&gt;in vitro&lt;/i&gt;","volume":"25","author":[{"family":"Mohankumar","given":"Sureshkumar"},{"family":"McFarlane","given":"James R."}],"issued":{"date-parts":[["2011",3]]}}}],"schema":"https://github.com/citation-style-language/schema/raw/master/csl-citation.json"} </w:instrText>
      </w:r>
      <w:r w:rsidRPr="002646EE">
        <w:rPr>
          <w:rFonts w:ascii="Times New Roman" w:hAnsi="Times New Roman" w:cs="Times New Roman"/>
          <w:color w:val="0D0D0D"/>
          <w:sz w:val="24"/>
          <w:szCs w:val="24"/>
          <w:shd w:val="clear" w:color="auto" w:fill="FFFFFF"/>
        </w:rPr>
        <w:fldChar w:fldCharType="separate"/>
      </w:r>
      <w:r w:rsidRPr="002646EE">
        <w:rPr>
          <w:rFonts w:ascii="Times New Roman" w:hAnsi="Times New Roman" w:cs="Times New Roman"/>
          <w:sz w:val="24"/>
          <w:szCs w:val="24"/>
        </w:rPr>
        <w:t>(Mohankumar &amp; McFarlane, 2011)</w:t>
      </w:r>
      <w:r w:rsidRPr="002646EE">
        <w:rPr>
          <w:rFonts w:ascii="Times New Roman" w:hAnsi="Times New Roman" w:cs="Times New Roman"/>
          <w:color w:val="0D0D0D"/>
          <w:sz w:val="24"/>
          <w:szCs w:val="24"/>
          <w:shd w:val="clear" w:color="auto" w:fill="FFFFFF"/>
        </w:rPr>
        <w:fldChar w:fldCharType="end"/>
      </w:r>
      <w:r w:rsidRPr="002646EE">
        <w:rPr>
          <w:rFonts w:ascii="Times New Roman" w:hAnsi="Times New Roman" w:cs="Times New Roman"/>
          <w:color w:val="0D0D0D"/>
          <w:sz w:val="24"/>
          <w:szCs w:val="24"/>
          <w:shd w:val="clear" w:color="auto" w:fill="FFFFFF"/>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p>
    <w:p w:rsidR="00CB2BBE" w:rsidRPr="002646EE" w:rsidRDefault="00CB2BBE" w:rsidP="004803EF">
      <w:pPr>
        <w:rPr>
          <w:rFonts w:ascii="Times New Roman" w:eastAsia="ArialMT" w:hAnsi="Times New Roman" w:cs="Times New Roman"/>
          <w:b/>
          <w:i/>
          <w:sz w:val="24"/>
          <w:szCs w:val="24"/>
        </w:rPr>
      </w:pPr>
      <w:r w:rsidRPr="002646EE">
        <w:rPr>
          <w:rFonts w:ascii="Times New Roman" w:hAnsi="Times New Roman" w:cs="Times New Roman"/>
          <w:b/>
          <w:i/>
          <w:sz w:val="24"/>
          <w:szCs w:val="24"/>
        </w:rPr>
        <w:t>Kataka</w:t>
      </w:r>
      <w:r w:rsidRPr="002646EE">
        <w:rPr>
          <w:rFonts w:ascii="Times New Roman" w:eastAsia="ArialMT" w:hAnsi="Times New Roman" w:cs="Times New Roman"/>
          <w:b/>
          <w:i/>
          <w:sz w:val="24"/>
          <w:szCs w:val="24"/>
        </w:rPr>
        <w:t xml:space="preserve">   </w:t>
      </w:r>
      <w:r w:rsidRPr="002646EE">
        <w:rPr>
          <w:rFonts w:ascii="Times New Roman" w:hAnsi="Times New Roman" w:cs="Times New Roman"/>
          <w:b/>
          <w:i/>
          <w:sz w:val="24"/>
          <w:szCs w:val="24"/>
        </w:rPr>
        <w:t>(Strychnous potatorum</w:t>
      </w:r>
      <w:r w:rsidRPr="002646EE">
        <w:rPr>
          <w:rFonts w:ascii="Times New Roman" w:eastAsia="ArialMT" w:hAnsi="Times New Roman" w:cs="Times New Roman"/>
          <w:b/>
          <w:i/>
          <w:sz w:val="24"/>
          <w:szCs w:val="24"/>
        </w:rPr>
        <w:t xml:space="preserve">) </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Fonts w:ascii="Times New Roman" w:hAnsi="Times New Roman" w:cs="Times New Roman"/>
          <w:color w:val="0D0D0D"/>
          <w:sz w:val="24"/>
          <w:szCs w:val="24"/>
          <w:shd w:val="clear" w:color="auto" w:fill="FFFFFF"/>
        </w:rPr>
        <w:t>Kataka (S. potatorum) possesses Madhura (sweet), Kashaya (astringent), and Tikta pradhana (bitter) among the Pancha rasa (five tastes). It has Laghu (light) and Vishada (clear) qualities, Sheeta virya (cold potency), and Madhura vipaka (sweet post-digestion effect). Kataka is also indicated as Mehanashanam (anti-diabetic)</w:t>
      </w:r>
      <w:r w:rsidRPr="002646EE">
        <w:rPr>
          <w:rFonts w:ascii="Times New Roman" w:hAnsi="Times New Roman" w:cs="Times New Roman"/>
          <w:color w:val="0D0D0D"/>
          <w:sz w:val="24"/>
          <w:szCs w:val="24"/>
          <w:shd w:val="clear" w:color="auto" w:fill="FFFFFF"/>
        </w:rPr>
        <w:fldChar w:fldCharType="begin"/>
      </w:r>
      <w:r w:rsidRPr="002646EE">
        <w:rPr>
          <w:rFonts w:ascii="Times New Roman" w:hAnsi="Times New Roman" w:cs="Times New Roman"/>
          <w:color w:val="0D0D0D"/>
          <w:sz w:val="24"/>
          <w:szCs w:val="24"/>
          <w:shd w:val="clear" w:color="auto" w:fill="FFFFFF"/>
        </w:rPr>
        <w:instrText xml:space="preserve"> ADDIN ZOTERO_ITEM CSL_CITATION {"citationID":"IGhFyZf6","properties":{"formattedCitation":"(Sharma AP, 2015b)","plainCitation":"(Sharma AP, 2015b)","noteIndex":0},"citationItems":[{"id":227,"uris":["http://zotero.org/users/local/Eg2UsBJR/items/F9MS9FRF"],"itemData":{"id":227,"type":"book","event-place":"Uttar Pradesh","number-of-pages":"p. 96-97","publisher-place":"Uttar Pradesh","title":"Chakshushyadivarga Chokhambha Sanskrit;","author":[{"family":"Sharma AP","given":""}],"issued":{"date-parts":[["2015"]]}}}],"schema":"https://github.com/citation-style-language/schema/raw/master/csl-citation.json"} </w:instrText>
      </w:r>
      <w:r w:rsidRPr="002646EE">
        <w:rPr>
          <w:rFonts w:ascii="Times New Roman" w:hAnsi="Times New Roman" w:cs="Times New Roman"/>
          <w:color w:val="0D0D0D"/>
          <w:sz w:val="24"/>
          <w:szCs w:val="24"/>
          <w:shd w:val="clear" w:color="auto" w:fill="FFFFFF"/>
        </w:rPr>
        <w:fldChar w:fldCharType="separate"/>
      </w:r>
      <w:r w:rsidRPr="002646EE">
        <w:rPr>
          <w:rFonts w:ascii="Times New Roman" w:hAnsi="Times New Roman" w:cs="Times New Roman"/>
          <w:sz w:val="24"/>
          <w:szCs w:val="24"/>
        </w:rPr>
        <w:t>(Sharma AP, 2015b)</w:t>
      </w:r>
      <w:r w:rsidRPr="002646EE">
        <w:rPr>
          <w:rFonts w:ascii="Times New Roman" w:hAnsi="Times New Roman" w:cs="Times New Roman"/>
          <w:color w:val="0D0D0D"/>
          <w:sz w:val="24"/>
          <w:szCs w:val="24"/>
          <w:shd w:val="clear" w:color="auto" w:fill="FFFFFF"/>
        </w:rPr>
        <w:fldChar w:fldCharType="end"/>
      </w:r>
      <w:r w:rsidRPr="002646EE">
        <w:rPr>
          <w:rFonts w:ascii="Times New Roman" w:hAnsi="Times New Roman" w:cs="Times New Roman"/>
          <w:color w:val="0D0D0D"/>
          <w:sz w:val="24"/>
          <w:szCs w:val="24"/>
          <w:shd w:val="clear" w:color="auto" w:fill="FFFFFF"/>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 xml:space="preserve">Strychnos potatorum Linn., a plant used in Ayurvedic medicine, helps treat diabetes. </w:t>
      </w:r>
      <w:r w:rsidR="00C573D0" w:rsidRPr="002646EE">
        <w:rPr>
          <w:rFonts w:ascii="Times New Roman" w:hAnsi="Times New Roman" w:cs="Times New Roman"/>
          <w:sz w:val="24"/>
          <w:szCs w:val="24"/>
        </w:rPr>
        <w:t>It includes substances such as compresterol, sitosterol, stigmasterol, isomotiol, diaboline, and strychnine.</w:t>
      </w:r>
      <w:r w:rsidRPr="002646EE">
        <w:rPr>
          <w:rFonts w:ascii="Times New Roman" w:eastAsia="ArialMT" w:hAnsi="Times New Roman" w:cs="Times New Roman"/>
          <w:sz w:val="24"/>
          <w:szCs w:val="24"/>
        </w:rPr>
        <w:t xml:space="preserve"> Traditionally, its seeds are known for their bitter taste and for helping with bowel issues, as well as having tonic, diuretic, and liver- and kidney-benefiting effects. The fruits have qualities </w:t>
      </w:r>
      <w:r w:rsidRPr="002646EE">
        <w:rPr>
          <w:rFonts w:ascii="Times New Roman" w:eastAsia="ArialMT" w:hAnsi="Times New Roman" w:cs="Times New Roman"/>
          <w:sz w:val="24"/>
          <w:szCs w:val="24"/>
        </w:rPr>
        <w:lastRenderedPageBreak/>
        <w:t xml:space="preserve">like inducing vomiting, promoting sweating, and acting as a protective remedy against toxins. </w:t>
      </w:r>
      <w:r w:rsidR="00C573D0" w:rsidRPr="002646EE">
        <w:rPr>
          <w:rStyle w:val="NormalWebChar"/>
          <w:rFonts w:eastAsiaTheme="minorHAnsi"/>
        </w:rPr>
        <w:t>The powdered seeds as well as their aqueous extracts safeguard the liver and exhibit antioxidative characteristics</w:t>
      </w:r>
      <w:r w:rsidRPr="002646EE">
        <w:rPr>
          <w:rStyle w:val="NormalWebChar"/>
          <w:rFonts w:eastAsia="ArialMT"/>
        </w:rPr>
        <w:t>. Methanol extracts from the seeds have strong diuretic effects</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{"citationID":"XxZ0dljR","properties":{"formattedCitation":"(Yadav et al., 2014)","plainCitation":"(Yadav et al., 2014)","noteIndex":0},"citationItems":[{"id":13,"uris":["http://zotero.org/users/local/Eg2UsBJR/items/G9X7SNLD"],"itemData":{"id":13,"type":"article-journal","container-title":"Pharmacognosy Reviews","DOI":"10.4103/0973-7847.125533","ISSN":"0973-7847","issue":"15","journalAbbreviation":"Phcog Rev","language":"en","page":"61","source":"DOI.org (Crossref)","title":"Strychnos potatorum: Phytochemical and pharmacological review","title-short":"Strychnos potatorum","volume":"8","author":[{"family":"Yadav","given":"KavitaN"},{"family":"Kadam","given":"PrasadV"},{"family":"Patel","given":"JignaA"},{"family":"Patil","given":"ManoharJ"}],"issued":{"date-parts":[["2014"]]}}}],"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(Yadav et al., 2014)</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Ethanol extracts from the plant can lower blood sugar levels and prevent diabetes, even at lower doses like 100 mg/kg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{"citationID":"15D9ayQv","properties":{"formattedCitation":"(Sanmugapriya &amp; Venkataraman, 2006)","plainCitation":"(Sanmugapriya &amp; Venkataraman, 2006)","noteIndex":0},"citationItems":[{"id":210,"uris":["http://zotero.org/users/local/Eg2UsBJR/items/5FLLIN4E"],"itemData":{"id":210,"type":"article-journal","container-title":"Journal of Ethnopharmacology","DOI":"10.1016/j.jep.2005.10.028","ISSN":"03788741","issue":"1-2","journalAbbreviation":"Journal of Ethnopharmacology","language":"en","license":"https://www.elsevier.com/tdm/userlicense/1.0/","page":"154-160","source":"DOI.org (Crossref)","title":"Studies on hepatoprotective and antioxidant actions of Strychnos potatorum Linn. seeds on CCl4-induced acute hepatic injury in experimental rats","volume":"105","author":[{"family":"Sanmugapriya","given":"E."},{"family":"Venkataraman","given":"S."}],"issued":{"date-parts":[["2006",4]]}}}],"schema":"https://github.com/citation-style-language/schema/raw/master/csl-citation.json"}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(Sanmugapriya &amp; Venkataraman, 2006)</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4803EF">
      <w:pPr>
        <w:rPr>
          <w:rFonts w:ascii="Times New Roman" w:eastAsia="ArialMT" w:hAnsi="Times New Roman" w:cs="Times New Roman"/>
          <w:b/>
          <w:i/>
          <w:sz w:val="24"/>
          <w:szCs w:val="24"/>
        </w:rPr>
      </w:pPr>
      <w:r w:rsidRPr="002646EE">
        <w:rPr>
          <w:rFonts w:ascii="Times New Roman" w:hAnsi="Times New Roman" w:cs="Times New Roman"/>
          <w:b/>
          <w:i/>
          <w:sz w:val="24"/>
          <w:szCs w:val="24"/>
        </w:rPr>
        <w:t>Paranti</w:t>
      </w:r>
      <w:r w:rsidRPr="002646EE">
        <w:rPr>
          <w:rFonts w:ascii="Times New Roman" w:eastAsia="ArialMT" w:hAnsi="Times New Roman" w:cs="Times New Roman"/>
          <w:b/>
          <w:i/>
          <w:sz w:val="24"/>
          <w:szCs w:val="24"/>
        </w:rPr>
        <w:t xml:space="preserve">  </w:t>
      </w:r>
      <w:r w:rsidRPr="002646EE">
        <w:rPr>
          <w:rFonts w:ascii="Times New Roman" w:hAnsi="Times New Roman" w:cs="Times New Roman"/>
          <w:b/>
          <w:i/>
          <w:sz w:val="24"/>
          <w:szCs w:val="24"/>
        </w:rPr>
        <w:t>(Ixora coccinea</w:t>
      </w:r>
      <w:r w:rsidRPr="002646EE">
        <w:rPr>
          <w:rFonts w:ascii="Times New Roman" w:eastAsia="ArialMT" w:hAnsi="Times New Roman" w:cs="Times New Roman"/>
          <w:b/>
          <w:i/>
          <w:sz w:val="24"/>
          <w:szCs w:val="24"/>
        </w:rPr>
        <w:t xml:space="preserve"> )</w:t>
      </w:r>
    </w:p>
    <w:p w:rsidR="00CB2BBE" w:rsidRPr="002646EE" w:rsidRDefault="00CB2BBE" w:rsidP="00CB2BBE">
      <w:pPr>
        <w:spacing w:after="0" w:line="360" w:lineRule="auto"/>
        <w:rPr>
          <w:rFonts w:ascii="Times New Roman" w:eastAsia="ArialMT" w:hAnsi="Times New Roman" w:cs="Times New Roman"/>
          <w:b/>
          <w:sz w:val="24"/>
          <w:szCs w:val="24"/>
        </w:rPr>
      </w:pPr>
      <w:r w:rsidRPr="002646EE">
        <w:rPr>
          <w:rFonts w:ascii="Times New Roman" w:eastAsia="Times New Roman" w:hAnsi="Times New Roman" w:cs="Times New Roman"/>
          <w:i/>
          <w:iCs/>
          <w:color w:val="000000"/>
          <w:sz w:val="24"/>
          <w:szCs w:val="24"/>
          <w:lang w:eastAsia="en-IN"/>
        </w:rPr>
        <w:t>Ixora coccinea</w:t>
      </w:r>
      <w:r w:rsidRPr="002646EE">
        <w:rPr>
          <w:rStyle w:val="NormalWebChar"/>
          <w:rFonts w:eastAsiaTheme="minorHAnsi"/>
        </w:rPr>
        <w:t xml:space="preserve"> has an astringent and bitter taste, cooling properties, and a pungent post-digestive effect. It is light and has properties that reduce Pitta </w:t>
      </w:r>
      <w:r w:rsidRPr="002646EE">
        <w:rPr>
          <w:rFonts w:ascii="Times New Roman" w:eastAsia="ArialMT" w:hAnsi="Times New Roman" w:cs="Times New Roman"/>
          <w:b/>
          <w:sz w:val="24"/>
          <w:szCs w:val="24"/>
        </w:rPr>
        <w:fldChar w:fldCharType="begin"/>
      </w:r>
      <w:r w:rsidRPr="002646EE">
        <w:rPr>
          <w:rFonts w:ascii="Times New Roman" w:eastAsia="ArialMT" w:hAnsi="Times New Roman" w:cs="Times New Roman"/>
          <w:b/>
          <w:sz w:val="24"/>
          <w:szCs w:val="24"/>
        </w:rPr>
        <w:instrText xml:space="preserve"> ADDIN ZOTERO_ITEM CSL_CITATION {"citationID":"5DAVUOtq","properties":{"formattedCitation":"(Johar Iquba &amp; Murlidhar Joglekar, 2020)","plainCitation":"(Johar Iquba &amp; Murlidhar Joglekar, 2020)","noteIndex":0},"citationItems":[{"id":226,"uris":["http://zotero.org/users/local/Eg2UsBJR/items/A84P56AA"],"itemData":{"id":226,"type":"article-journal","container-title":"World Journal of Pharmacy and Pharmaceutical Sciences","DOI":"10.20959/wjpps20203-15706","ISSN":"ISSN 2278 – 4357","journalAbbreviation":"World Journal of Pharmacy and Pharmaceutical Sciences","title":"PARANTHI (IXORA COCCINEA) A REVIEW","volume":"Vol 9, Issue 3, 2020","author":[{"family":"Johar Iquba","given":"Dr. Rafea Taqudees"},{"family":"Murlidhar Joglekar","given":"Dr. Priyadarshan"}],"issued":{"date-parts":[["2020"]]}}}],"schema":"https://github.com/citation-style-language/schema/raw/master/csl-citation.json"} </w:instrText>
      </w:r>
      <w:r w:rsidRPr="002646EE">
        <w:rPr>
          <w:rFonts w:ascii="Times New Roman" w:eastAsia="ArialMT" w:hAnsi="Times New Roman" w:cs="Times New Roman"/>
          <w:b/>
          <w:sz w:val="24"/>
          <w:szCs w:val="24"/>
        </w:rPr>
        <w:fldChar w:fldCharType="separate"/>
      </w:r>
      <w:r w:rsidRPr="002646EE">
        <w:rPr>
          <w:rFonts w:ascii="Times New Roman" w:hAnsi="Times New Roman" w:cs="Times New Roman"/>
          <w:sz w:val="24"/>
          <w:szCs w:val="24"/>
        </w:rPr>
        <w:t>(Johar Iquba &amp; Murlidhar Joglekar, 2020)</w:t>
      </w:r>
      <w:r w:rsidRPr="002646EE">
        <w:rPr>
          <w:rFonts w:ascii="Times New Roman" w:eastAsia="ArialMT" w:hAnsi="Times New Roman" w:cs="Times New Roman"/>
          <w:b/>
          <w:sz w:val="24"/>
          <w:szCs w:val="24"/>
        </w:rPr>
        <w:fldChar w:fldCharType="end"/>
      </w:r>
    </w:p>
    <w:p w:rsidR="00CB2BBE" w:rsidRPr="002646EE" w:rsidRDefault="00A05AF4"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hAnsi="Times New Roman" w:cs="Times New Roman"/>
          <w:sz w:val="24"/>
          <w:szCs w:val="24"/>
        </w:rPr>
        <w:t xml:space="preserve">Ixora coccinea root samples exhibit the ability to counteract free radicals and decrease oxidant levels. </w:t>
      </w:r>
      <w:r w:rsidR="00CB2BBE" w:rsidRPr="002646EE">
        <w:rPr>
          <w:rStyle w:val="NormalWebChar"/>
          <w:rFonts w:eastAsia="ArialMT"/>
        </w:rPr>
        <w:t>Polyphenolics in Ixora coccinea protect against free radicals,  and detoxify harmful substances</w:t>
      </w:r>
      <w:r w:rsidR="00CB2BBE" w:rsidRPr="002646EE">
        <w:rPr>
          <w:rFonts w:ascii="Times New Roman" w:eastAsia="ArialMT" w:hAnsi="Times New Roman" w:cs="Times New Roman"/>
          <w:sz w:val="24"/>
          <w:szCs w:val="24"/>
        </w:rPr>
        <w:fldChar w:fldCharType="begin"/>
      </w:r>
      <w:r w:rsidR="00CB2BBE" w:rsidRPr="002646EE">
        <w:rPr>
          <w:rFonts w:ascii="Times New Roman" w:eastAsia="ArialMT" w:hAnsi="Times New Roman" w:cs="Times New Roman"/>
          <w:sz w:val="24"/>
          <w:szCs w:val="24"/>
        </w:rPr>
        <w:instrText xml:space="preserve"> ADDIN ZOTERO_ITEM CSL_CITATION {"citationID":"wC2Hr2OK","properties":{"formattedCitation":"(Ganesan &amp; Xu, 2017)","plainCitation":"(Ganesan &amp; Xu, 2017)","noteIndex":0},"citationItems":[{"id":214,"uris":["http://zotero.org/users/local/Eg2UsBJR/items/9JUXS2X7"],"itemData":{"id":214,"type":"article-journal","abstract":"Polyphenols are plant secondary metabolites containing antioxidant properties, which help to protect chronic diseases from free radical damage. Dietary polyphenols are the subject of enhancing scientific interest due to their possible beneficial effects on human health. In the last two decades, there has been more interest in the potential health benefits of dietary polyphenols as antioxidant. Black soybeans (Glycine max L. Merr) are merely a black variety of soybean containing a variety of phytochemicals. These phytochemicals in black soybean (BSB) are potentially effective in human health, including cancer, diabetes, cardiovascular diseases, cerebrovascular diseases, and neurodegenerative diseases. Taking into account exploratory study, the present review aims to provide up-to-date data on health benefit of BSB, which helps to explore their therapeutic values for future clinical settings. All data of in vitro and in vivo studies of BSB and its impact on human health were collected from a library database and electronic search (Science Direct, PubMed, and Google Scholar). The different pharmacological information was gathered and orchestrated in a suitable spot on the paper.","container-title":"Nutrients","DOI":"10.3390/nu9050455","ISSN":"2072-6643","issue":"5","journalAbbreviation":"Nutrients","language":"en","license":"https://creativecommons.org/licenses/by/4.0/","page":"455","source":"DOI.org (Crossref)","title":"A Critical Review on Polyphenols and Health Benefits of Black Soybeans","volume":"9","author":[{"family":"Ganesan","given":"Kumar"},{"family":"Xu","given":"Baojun"}],"issued":{"date-parts":[["2017",5,4]]}}}],"schema":"https://github.com/citation-style-language/schema/raw/master/csl-citation.json"} </w:instrText>
      </w:r>
      <w:r w:rsidR="00CB2BBE" w:rsidRPr="002646EE">
        <w:rPr>
          <w:rFonts w:ascii="Times New Roman" w:eastAsia="ArialMT" w:hAnsi="Times New Roman" w:cs="Times New Roman"/>
          <w:sz w:val="24"/>
          <w:szCs w:val="24"/>
        </w:rPr>
        <w:fldChar w:fldCharType="separate"/>
      </w:r>
      <w:r w:rsidR="00CB2BBE" w:rsidRPr="002646EE">
        <w:rPr>
          <w:rFonts w:ascii="Times New Roman" w:hAnsi="Times New Roman" w:cs="Times New Roman"/>
          <w:sz w:val="24"/>
          <w:szCs w:val="24"/>
        </w:rPr>
        <w:t>(Ganesan &amp; Xu, 2017)</w:t>
      </w:r>
      <w:r w:rsidR="00CB2BBE" w:rsidRPr="002646EE">
        <w:rPr>
          <w:rFonts w:ascii="Times New Roman" w:eastAsia="ArialMT" w:hAnsi="Times New Roman" w:cs="Times New Roman"/>
          <w:sz w:val="24"/>
          <w:szCs w:val="24"/>
        </w:rPr>
        <w:fldChar w:fldCharType="end"/>
      </w:r>
      <w:r w:rsidR="00CB2BBE" w:rsidRPr="002646EE">
        <w:rPr>
          <w:rFonts w:ascii="Times New Roman" w:eastAsia="ArialMT" w:hAnsi="Times New Roman" w:cs="Times New Roman"/>
          <w:sz w:val="24"/>
          <w:szCs w:val="24"/>
        </w:rPr>
        <w:t>, providing hepatoprotective benefits. Quercetin, the flavonoid in every root sample is recognized as a potent antioxidant</w:t>
      </w:r>
      <w:r w:rsidR="00CB2BBE" w:rsidRPr="002646EE">
        <w:rPr>
          <w:rFonts w:ascii="Times New Roman" w:eastAsia="ArialMT" w:hAnsi="Times New Roman" w:cs="Times New Roman"/>
          <w:sz w:val="24"/>
          <w:szCs w:val="24"/>
        </w:rPr>
        <w:fldChar w:fldCharType="begin"/>
      </w:r>
      <w:r w:rsidR="00CB2BBE" w:rsidRPr="002646EE">
        <w:rPr>
          <w:rFonts w:ascii="Times New Roman" w:eastAsia="ArialMT" w:hAnsi="Times New Roman" w:cs="Times New Roman"/>
          <w:sz w:val="24"/>
          <w:szCs w:val="24"/>
        </w:rPr>
        <w:instrText xml:space="preserve"> ADDIN ZOTERO_ITEM CSL_CITATION {"citationID":"OhGRSdiL","properties":{"formattedCitation":"(Muhammad et al., 2020)","plainCitation":"(Muhammad et al., 2020)","noteIndex":0},"citationItems":[{"id":213,"uris":["http://zotero.org/users/local/Eg2UsBJR/items/QLFQEZ5G"],"itemData":{"id":213,"type":"article-journal","container-title":"South African Journal of Botany","DOI":"10.1016/j.sajb.2020.08.012","ISSN":"02546299","journalAbbreviation":"South African Journal of Botany","language":"en","page":"71-79","source":"DOI.org (Crossref)","title":"Antioxidant and antimicrobial activities of Ixora coccinea root and quantification of phenolic compounds using HPLC","volume":"135","author":[{"family":"Muhammad","given":"Haji"},{"family":"Qasim","given":"Muhammad"},{"family":"Ikram","given":"Ambreen"},{"family":"Versiani","given":"Muhammad Ali"},{"family":"Tahiri","given":"Iftikhar Ahmed"},{"family":"Yasmeen","given":"Kousar"},{"family":"Abbasi","given":"Muhammad Waseem"},{"family":"Azeem","given":"Muhammad"},{"family":"Ali","given":"Syed Tahir"},{"family":"Gul","given":"Bilquees"}],"issued":{"date-parts":[["2020",12]]}}}],"schema":"https://github.com/citation-style-language/schema/raw/master/csl-citation.json"} </w:instrText>
      </w:r>
      <w:r w:rsidR="00CB2BBE" w:rsidRPr="002646EE">
        <w:rPr>
          <w:rFonts w:ascii="Times New Roman" w:eastAsia="ArialMT" w:hAnsi="Times New Roman" w:cs="Times New Roman"/>
          <w:sz w:val="24"/>
          <w:szCs w:val="24"/>
        </w:rPr>
        <w:fldChar w:fldCharType="separate"/>
      </w:r>
      <w:r w:rsidR="00CB2BBE" w:rsidRPr="002646EE">
        <w:rPr>
          <w:rFonts w:ascii="Times New Roman" w:hAnsi="Times New Roman" w:cs="Times New Roman"/>
          <w:sz w:val="24"/>
          <w:szCs w:val="24"/>
        </w:rPr>
        <w:t>(Muhammad et al., 2020)</w:t>
      </w:r>
      <w:r w:rsidR="00CB2BBE" w:rsidRPr="002646EE">
        <w:rPr>
          <w:rFonts w:ascii="Times New Roman" w:eastAsia="ArialMT" w:hAnsi="Times New Roman" w:cs="Times New Roman"/>
          <w:sz w:val="24"/>
          <w:szCs w:val="24"/>
        </w:rPr>
        <w:fldChar w:fldCharType="end"/>
      </w:r>
      <w:r w:rsidR="00CB2BBE" w:rsidRPr="002646EE">
        <w:rPr>
          <w:rFonts w:ascii="Times New Roman" w:eastAsia="ArialMT" w:hAnsi="Times New Roman" w:cs="Times New Roman"/>
          <w:sz w:val="24"/>
          <w:szCs w:val="24"/>
        </w:rPr>
        <w:t xml:space="preserve">.Phenolic compounds like gallic acid, catechin, coumarin, and p-coumaric acid. </w:t>
      </w:r>
      <w:r w:rsidR="00C573D0" w:rsidRPr="002646EE">
        <w:rPr>
          <w:rFonts w:ascii="Times New Roman" w:hAnsi="Times New Roman" w:cs="Times New Roman"/>
          <w:sz w:val="24"/>
          <w:szCs w:val="24"/>
        </w:rPr>
        <w:t>These substances possess antioxidative, hypoglycemic, and additional bioactive characteristics.</w:t>
      </w:r>
      <w:r w:rsidR="00CB2BBE" w:rsidRPr="002646EE">
        <w:rPr>
          <w:rFonts w:ascii="Times New Roman" w:eastAsia="ArialMT" w:hAnsi="Times New Roman" w:cs="Times New Roman"/>
          <w:sz w:val="24"/>
          <w:szCs w:val="24"/>
        </w:rPr>
        <w:fldChar w:fldCharType="begin"/>
      </w:r>
      <w:r w:rsidR="00CB2BBE" w:rsidRPr="002646EE">
        <w:rPr>
          <w:rFonts w:ascii="Times New Roman" w:eastAsia="ArialMT" w:hAnsi="Times New Roman" w:cs="Times New Roman"/>
          <w:sz w:val="24"/>
          <w:szCs w:val="24"/>
        </w:rPr>
        <w:instrText xml:space="preserve"> ADDIN ZOTERO_ITEM CSL_CITATION {"citationID":"IsS2P4rm","properties":{"formattedCitation":"(Nagao et al., 2005)","plainCitation":"(Nagao et al., 2005)","noteIndex":0},"citationItems":[{"id":216,"uris":["http://zotero.org/users/local/Eg2UsBJR/items/Z3FF43K6"],"itemData":{"id":216,"type":"article-journal","container-title":"The American Journal of Clinical Nutrition","DOI":"10.1093/ajcn/81.1.122","ISSN":"00029165","issue":"1","journalAbbreviation":"The American Journal of Clinical Nutrition","language":"en","page":"122-129","source":"DOI.org (Crossref)","title":"Ingestion of a tea rich in catechins leads to a reduction in body fat and malondialdehyde-modified LDL in men","volume":"81","author":[{"family":"Nagao","given":"Tomonori"},{"family":"Komine","given":"Yumiko"},{"family":"Soga","given":"Satoko"},{"family":"Meguro","given":"Shinichi"},{"family":"Hase","given":"Tadashi"},{"family":"Tanaka","given":"Yukitaka"},{"family":"Tokimitsu","given":"Ichiro"}],"issued":{"date-parts":[["2005",1]]}}}],"schema":"https://github.com/citation-style-language/schema/raw/master/csl-citation.json"} </w:instrText>
      </w:r>
      <w:r w:rsidR="00CB2BBE" w:rsidRPr="002646EE">
        <w:rPr>
          <w:rFonts w:ascii="Times New Roman" w:eastAsia="ArialMT" w:hAnsi="Times New Roman" w:cs="Times New Roman"/>
          <w:sz w:val="24"/>
          <w:szCs w:val="24"/>
        </w:rPr>
        <w:fldChar w:fldCharType="separate"/>
      </w:r>
      <w:r w:rsidR="00CB2BBE" w:rsidRPr="002646EE">
        <w:rPr>
          <w:rFonts w:ascii="Times New Roman" w:hAnsi="Times New Roman" w:cs="Times New Roman"/>
          <w:sz w:val="24"/>
          <w:szCs w:val="24"/>
        </w:rPr>
        <w:t>(Nagao et al., 2005)</w:t>
      </w:r>
      <w:r w:rsidR="00CB2BBE" w:rsidRPr="002646EE">
        <w:rPr>
          <w:rFonts w:ascii="Times New Roman" w:eastAsia="ArialMT" w:hAnsi="Times New Roman" w:cs="Times New Roman"/>
          <w:sz w:val="24"/>
          <w:szCs w:val="24"/>
        </w:rPr>
        <w:fldChar w:fldCharType="end"/>
      </w:r>
      <w:r w:rsidR="00CB2BBE" w:rsidRPr="002646EE">
        <w:rPr>
          <w:rFonts w:ascii="Times New Roman" w:eastAsia="ArialMT" w:hAnsi="Times New Roman" w:cs="Times New Roman"/>
          <w:sz w:val="24"/>
          <w:szCs w:val="24"/>
        </w:rPr>
        <w:t>.</w:t>
      </w:r>
    </w:p>
    <w:p w:rsidR="00CB2BBE" w:rsidRPr="002646EE" w:rsidRDefault="00CB2BBE" w:rsidP="004803EF">
      <w:pPr>
        <w:rPr>
          <w:rFonts w:ascii="Times New Roman" w:hAnsi="Times New Roman" w:cs="Times New Roman"/>
          <w:b/>
          <w:sz w:val="24"/>
          <w:szCs w:val="24"/>
        </w:rPr>
      </w:pPr>
    </w:p>
    <w:p w:rsidR="00CB2BBE" w:rsidRPr="002646EE" w:rsidRDefault="00CB2BBE" w:rsidP="004803EF">
      <w:pPr>
        <w:rPr>
          <w:rFonts w:ascii="Times New Roman" w:hAnsi="Times New Roman" w:cs="Times New Roman"/>
          <w:b/>
          <w:i/>
          <w:sz w:val="24"/>
          <w:szCs w:val="24"/>
        </w:rPr>
      </w:pPr>
      <w:r w:rsidRPr="002646EE">
        <w:rPr>
          <w:rFonts w:ascii="Times New Roman" w:hAnsi="Times New Roman" w:cs="Times New Roman"/>
          <w:b/>
          <w:i/>
          <w:sz w:val="24"/>
          <w:szCs w:val="24"/>
        </w:rPr>
        <w:t>Lodhra  (Symplocos racemosa)</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Style w:val="NormalWebChar"/>
          <w:rFonts w:eastAsiaTheme="minorHAnsi"/>
        </w:rPr>
        <w:t xml:space="preserve">S. racemosa has a primarily astringent taste, is light and dry, and has cooling properties with a pungent post-digestive effect. Lodhra is recommended for treating Prameha </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{"citationID":"SWiIqzSh","properties":{"formattedCitation":"(Sharma AP, 2015)","plainCitation":"(Sharma AP, 2015)","noteIndex":0},"citationItems":[{"id":217,"uris":["http://zotero.org/users/local/Eg2UsBJR/items/I94EIEXC"],"itemData":{"id":217,"type":"book","event-place":"Uttar Pradesh","number-of-pages":"p. 616-17","publisher":"Chokhambha Sanshkrit","publisher-place":"Uttar Pradesh","title":"Artavsangrahaniya Chokhambha Sanshkrit; 2015.","author":[{"family":"Sharma AP","given":""}],"issued":{"date-parts":[["2015"]]}}}],"schema":"https://github.com/citation-style-language/schema/raw/master/csl-citation.json"}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(Sharma AP, 2015)</w:t>
      </w:r>
      <w:r w:rsidRPr="002646EE">
        <w:rPr>
          <w:rFonts w:ascii="Times New Roman" w:hAnsi="Times New Roman" w:cs="Times New Roman"/>
          <w:sz w:val="24"/>
          <w:szCs w:val="24"/>
        </w:rPr>
        <w:fldChar w:fldCharType="end"/>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 xml:space="preserve">Treatment with methanol extract of S. racemosa bark in streptozotocin-induced diabetic rats reduced blood glucose and triglyceride levels. This effect might be due to an insulin-like action on peripheral tissues, either by promoting glucose uptake and metabolism or by inhibiting hepatic gluconeogenesis. The methanol extract showed hypocholesterolemic and hypotriglyceridemic effects and increased HDL levels in diabetic rats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{"citationID":"yDMZQIk6","properties":{"formattedCitation":"(Acharya et al., 2016)","plainCitation":"(Acharya et al., 2016)","noteIndex":0},"citationItems":[{"id":229,"uris":["http://zotero.org/users/local/Eg2UsBJR/items/8SCW3QKI"],"itemData":{"id":229,"type":"article-journal","container-title":"Journal of Ethnopharmacology","DOI":"10.1016/j.jep.2016.01.043","ISSN":"03788741","journalAbbreviation":"Journal of Ethnopharmacology","language":"en","page":"236-251","source":"DOI.org (Crossref)","title":"A comprehensive analysis on Symplocos racemosa Roxb.: Traditional uses, botany, phytochemistry and pharmacological activities","title-short":"A comprehensive analysis on Symplocos racemosa Roxb.","volume":"181","author":[{"family":"Acharya","given":"Niyati"},{"family":"Acharya","given":"Sanjeev"},{"family":"Shah","given":"Unnati"},{"family":"Shah","given":"Ripal"},{"family":"Hingorani","given":"Lal"}],"issued":{"date-parts":[["2016",4]]}}}],"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(Acharya et al., 2016)</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765E7D" w:rsidP="004803EF">
      <w:pPr>
        <w:rPr>
          <w:rFonts w:ascii="Times New Roman" w:hAnsi="Times New Roman" w:cs="Times New Roman"/>
          <w:b/>
          <w:bCs/>
          <w:i/>
          <w:iCs/>
          <w:color w:val="000000"/>
          <w:sz w:val="24"/>
          <w:szCs w:val="24"/>
        </w:rPr>
      </w:pPr>
      <w:r w:rsidRPr="002646EE">
        <w:rPr>
          <w:rFonts w:ascii="Times New Roman" w:hAnsi="Times New Roman" w:cs="Times New Roman"/>
          <w:b/>
          <w:bCs/>
          <w:i/>
          <w:iCs/>
          <w:color w:val="000000"/>
          <w:sz w:val="24"/>
          <w:szCs w:val="24"/>
        </w:rPr>
        <w:t>Amalaki (Emblica officinalis)</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Amlaki (</w:t>
      </w:r>
      <w:r w:rsidRPr="002646EE">
        <w:rPr>
          <w:rFonts w:ascii="Times New Roman" w:hAnsi="Times New Roman" w:cs="Times New Roman"/>
          <w:i/>
          <w:iCs/>
          <w:color w:val="000000"/>
          <w:sz w:val="24"/>
          <w:szCs w:val="24"/>
        </w:rPr>
        <w:t>Emblica officinalis</w:t>
      </w:r>
      <w:r w:rsidRPr="002646EE">
        <w:rPr>
          <w:rFonts w:ascii="Times New Roman" w:eastAsia="ArialMT" w:hAnsi="Times New Roman" w:cs="Times New Roman"/>
          <w:sz w:val="24"/>
          <w:szCs w:val="24"/>
        </w:rPr>
        <w:t>), commonly known as indian gooseberry, it has predominantly sour taste (</w:t>
      </w:r>
      <w:r w:rsidRPr="002646EE">
        <w:rPr>
          <w:rFonts w:ascii="Times New Roman" w:eastAsia="ArialMT" w:hAnsi="Times New Roman" w:cs="Times New Roman"/>
          <w:i/>
          <w:sz w:val="24"/>
          <w:szCs w:val="24"/>
        </w:rPr>
        <w:t>amla pradhana</w:t>
      </w:r>
      <w:r w:rsidRPr="002646EE">
        <w:rPr>
          <w:rFonts w:ascii="Times New Roman" w:eastAsia="ArialMT" w:hAnsi="Times New Roman" w:cs="Times New Roman"/>
          <w:sz w:val="24"/>
          <w:szCs w:val="24"/>
        </w:rPr>
        <w:t>), it have five tastes (</w:t>
      </w:r>
      <w:r w:rsidRPr="002646EE">
        <w:rPr>
          <w:rFonts w:ascii="Times New Roman" w:eastAsia="ArialMT" w:hAnsi="Times New Roman" w:cs="Times New Roman"/>
          <w:i/>
          <w:iCs/>
          <w:color w:val="000000"/>
          <w:sz w:val="24"/>
          <w:szCs w:val="24"/>
        </w:rPr>
        <w:t>pancharasa</w:t>
      </w:r>
      <w:r w:rsidRPr="002646EE">
        <w:rPr>
          <w:rStyle w:val="NormalWebChar"/>
          <w:rFonts w:eastAsia="ArialMT"/>
        </w:rPr>
        <w:t>), is heavy (guru) and dry (</w:t>
      </w:r>
      <w:r w:rsidRPr="002646EE">
        <w:rPr>
          <w:rFonts w:ascii="Times New Roman" w:eastAsia="ArialMT" w:hAnsi="Times New Roman" w:cs="Times New Roman"/>
          <w:i/>
          <w:sz w:val="24"/>
          <w:szCs w:val="24"/>
        </w:rPr>
        <w:t>ruksha guna</w:t>
      </w:r>
      <w:r w:rsidRPr="002646EE">
        <w:rPr>
          <w:rFonts w:ascii="Times New Roman" w:eastAsia="ArialMT" w:hAnsi="Times New Roman" w:cs="Times New Roman"/>
          <w:sz w:val="24"/>
          <w:szCs w:val="24"/>
        </w:rPr>
        <w:t>), possesses a cooling potency (</w:t>
      </w:r>
      <w:r w:rsidRPr="002646EE">
        <w:rPr>
          <w:rFonts w:ascii="Times New Roman" w:eastAsia="ArialMT" w:hAnsi="Times New Roman" w:cs="Times New Roman"/>
          <w:i/>
          <w:sz w:val="24"/>
          <w:szCs w:val="24"/>
        </w:rPr>
        <w:t>sheetha virya</w:t>
      </w:r>
      <w:r w:rsidRPr="002646EE">
        <w:rPr>
          <w:rStyle w:val="NormalWebChar"/>
          <w:rFonts w:eastAsia="ArialMT"/>
        </w:rPr>
        <w:t>), has a sweet post-digestive effect (</w:t>
      </w:r>
      <w:r w:rsidRPr="002646EE">
        <w:rPr>
          <w:rFonts w:ascii="Times New Roman" w:eastAsia="ArialMT" w:hAnsi="Times New Roman" w:cs="Times New Roman"/>
          <w:i/>
          <w:sz w:val="24"/>
          <w:szCs w:val="24"/>
        </w:rPr>
        <w:t>madhura vipaka</w:t>
      </w:r>
      <w:r w:rsidRPr="002646EE">
        <w:rPr>
          <w:rStyle w:val="NormalWebChar"/>
          <w:rFonts w:eastAsia="ArialMT"/>
        </w:rPr>
        <w:t>), and balances three doshas (tridoshahara). It is also known for its rejuvenating effects (</w:t>
      </w:r>
      <w:r w:rsidRPr="002646EE">
        <w:rPr>
          <w:rFonts w:ascii="Times New Roman" w:eastAsia="ArialMT" w:hAnsi="Times New Roman" w:cs="Times New Roman"/>
          <w:i/>
          <w:sz w:val="24"/>
          <w:szCs w:val="24"/>
        </w:rPr>
        <w:t>rasayana</w:t>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{"citationID":"yJ8PChij","properties":{"formattedCitation":"(Om Parkash Sharma &amp; Shalu Sharma, 2022)","plainCitation":"(Om Parkash Sharma &amp; Shalu Sharma, 2022)","noteIndex":0},"citationItems":[{"id":170,"uris":["http://zotero.org/users/local/Eg2UsBJR/items/VZ5BHA3P"],"itemData":{"id":170,"type":"article-journal","abstract":"The drug Amalaki (Emblica Officinalis Gaertn.) belongs to family Euphorbiaceae, is used since ancient time for therapeutic purposes. It has been used in the traditional Indian medicine of ‘Ayurveda’ for the treatment of a variety of diseases. Amalaki has five Rasa (taste) except Lavana (salt), It is mainly Amla Ras Pradhan. Its Vipaka (taste after digestion) is Madhura (sweet) and Veerya (potency) is Sheeta (cool). Because of these qualities, the plant performs various pharmacological actions such as anti-inflammatory activity, antioxidant activity, immunomodulatory activity, anti-tussive, antiulcer activity, anticancerous activity, anti-diarroheal and spasmolytic, antidiabetic, in reducing cholesterol and dyslipidemia, antimicrobial, anti-asthmatic. It helps to improve physical and mental health, prevents degeneration, extends youth and delays aging or rather reverse the aging process. Various parts of Amalaki has been described in morphology like root, stem, leaf, seed, flower and fruit. Synonyms and their interpretation, Vernacular names, Rasapanchaka and Karma of Amalaki in various Nighantus (Dhanwantri Nighantu, Shodhal Nighantu, Madanpal Nighantu, Bhavprakasha Nighantu, Kaiyadeva Nighantu and Raj Nighantu) has been described. Classical categorization of plant Amalaki in Charaka Samhita, Sushruta Samhita and Ashtanga Hridaya has been explained according to its Karma and this paper presented a comprehensive review of Emblica Officinalis Gaertn","container-title":"International Journal of Ayurveda and Pharma Research","DOI":"10.47070/ijapr.v10i7.2412","ISSN":"2322-0910, 2322-0902","journalAbbreviation":"Int J Ayu Pharm Res","license":"https://creativecommons.org/licenses/by-nc-sa/4.0","page":"91-98","source":"DOI.org (Crossref)","title":"A Critical Review of Amalaki- (Emblica Officinalis Gaertn.) in Classical Texts and Promote its Use in Our Life","author":[{"literal":"Om Parkash Sharma"},{"literal":"Shalu Sharma"}],"issued":{"date-parts":[["2022",8,6]]}}}],"schema":"https://github.com/citation-style-language/schema/raw/master/csl-citation.json"}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(Om Parkash Sharma &amp; Shalu Sharma, 2022)</w:t>
      </w:r>
      <w:r w:rsidRPr="002646EE">
        <w:rPr>
          <w:rFonts w:ascii="Times New Roman" w:eastAsia="ArialMT" w:hAnsi="Times New Roman" w:cs="Times New Roman"/>
          <w:sz w:val="24"/>
          <w:szCs w:val="24"/>
        </w:rPr>
        <w:fldChar w:fldCharType="end"/>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lastRenderedPageBreak/>
        <w:t xml:space="preserve">Administering a diet rich in ellagic acid (5% and 12 consecutive weeks) to diabetic mice proved effective in boosting plasma insulin levels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{"citationID":"c841KoG2","properties":{"formattedCitation":"(Chao et al., 2010)","plainCitation":"(Chao et al., 2010)","noteIndex":0},"citationItems":[{"id":203,"uris":["http://zotero.org/users/local/Eg2UsBJR/items/QBY24RQ5"],"itemData":{"id":203,"type":"article-journal","abstract":"Abstract\n            \n              Protective effects of caffeic acid (CA) and ellagic acid (EA) in kidney of diabetic mice were examined. CA or EA at 2.5 and 5% was mixed in diet and supplied to diabetic mice for 12 wk. Results showed that the intake of CA or EA increased renal content of these compounds, alleviated body weight loss, decreased urine output, increased plasma insulin and decreased blood glucose levels at weeks 6 and 12 (\n              p\n              &lt;0.05). The intake of these compounds dose dependently reduced plasma blood urea nitrogen and elevated creatinine clearance (\n              p\n              &lt;0.05). CA or EA at 5% significantly decreased the levels of plasma HbA1c, urinary glycated albumin, renal carboxymethyllysine, pentosidine, sorbitol and fructose (\n              p\n              &lt;0.05), and significantly diminished renal activity of aldose reductase and sorbitol dehydrogenase, as well as suppressed renal aldose reductase mRNA expression (\n              p\n              &lt;0.05). CA or EA dose dependently lowered renal levels of IL‐6, IL‐1β, tumor necrosis factor (TNF)‐α and monocyte chemoattractant protein 1 (MCP‐1) (\n              p\n              &lt;0.05). Furthermore, CA or EA dose dependently down‐regulated tumor necrosis factor‐α and monocyte chemoattractant protein‐1 mRNA expression in kidney (\n              p\n              &lt;0.05). Based on the observed anti‐glycative and anti‐inflammatory effects, the supplement of CA or EA might be helpful for the prevention or attenuation of diabetic kidney diseases.","container-title":"Molecular Nutrition &amp; Food Research","DOI":"10.1002/mnfr.200900087","ISSN":"1613-4125, 1613-4133","issue":"3","journalAbbreviation":"Molecular Nutrition Food Res","language":"en","license":"http://onlinelibrary.wiley.com/termsAndConditions#vor","page":"388-395","source":"DOI.org (Crossref)","title":"Anti‐glycative and anti‐inflammatory effects of caffeic acid and ellagic acid in kidney of diabetic mice","volume":"54","author":[{"family":"Chao","given":"Che‐yi"},{"family":"Mong","given":"Mei‐chin"},{"family":"Chan","given":"Kung‐chi"},{"family":"Yin","given":"Mei‐chin"}],"issued":{"date-parts":[["2010",3]]}}}],"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(Chao et al., 2010)</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Gallic acid supplementation elevated plasma insulin levels, and histopathological examinations of the pancreas affirmed its beneficial effects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{"citationID":"yePArNr1","properties":{"formattedCitation":"(Punithavathi et al., 2011)","plainCitation":"(Punithavathi et al., 2011)","noteIndex":0},"citationItems":[{"id":204,"uris":["http://zotero.org/users/local/Eg2UsBJR/items/FMCZFKPL"],"itemData":{"id":204,"type":"article-journal","container-title":"European Journal of Pharmacology","DOI":"10.1016/j.ejphar.2010.08.059","ISSN":"00142999","issue":"1","journalAbbreviation":"European Journal of Pharmacology","language":"en","license":"https://www.elsevier.com/tdm/userlicense/1.0/","page":"465-471","source":"DOI.org (Crossref)","title":"Antihyperglycaemic, antilipid peroxidative and antioxidant effects of gallic acid on streptozotocin induced diabetic Wistar rats","volume":"650","author":[{"family":"Punithavathi","given":"Vilapakkam Ranganathan"},{"family":"Prince","given":"Ponnian Stanely Mainzen"},{"family":"Kumar","given":"Ramesh"},{"family":"Selvakumari","given":"Jemmi"}],"issued":{"date-parts":[["2011",1]]}}}],"schema":"https://github.com/citation-style-language/schema/raw/master/csl-citation.json"}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(Punithavathi et al., 2011)</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.STZ-induced diabetic rats fed with gallic acid for 28 days made their bodies produce more insulin.</w:t>
      </w:r>
    </w:p>
    <w:p w:rsidR="00CB2BBE" w:rsidRPr="002646EE" w:rsidRDefault="00CB2BBE" w:rsidP="002D6B34">
      <w:pPr>
        <w:pStyle w:val="Heading2"/>
      </w:pPr>
    </w:p>
    <w:p w:rsidR="00CB2BBE" w:rsidRPr="002646EE" w:rsidRDefault="00CB2BBE" w:rsidP="004803EF">
      <w:pPr>
        <w:rPr>
          <w:rFonts w:ascii="Times New Roman" w:hAnsi="Times New Roman" w:cs="Times New Roman"/>
          <w:b/>
          <w:i/>
          <w:sz w:val="24"/>
          <w:szCs w:val="24"/>
        </w:rPr>
      </w:pPr>
      <w:r w:rsidRPr="002646EE">
        <w:rPr>
          <w:rFonts w:ascii="Times New Roman" w:hAnsi="Times New Roman" w:cs="Times New Roman"/>
          <w:b/>
          <w:i/>
          <w:sz w:val="24"/>
          <w:szCs w:val="24"/>
        </w:rPr>
        <w:t>Gorakshaganja (Aerva lanata)</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bCs/>
          <w:i/>
          <w:iCs/>
          <w:color w:val="000000"/>
          <w:sz w:val="24"/>
          <w:szCs w:val="24"/>
        </w:rPr>
      </w:pPr>
      <w:r w:rsidRPr="002646EE">
        <w:rPr>
          <w:rFonts w:ascii="Times New Roman" w:hAnsi="Times New Roman" w:cs="Times New Roman"/>
          <w:color w:val="252525"/>
          <w:sz w:val="24"/>
          <w:szCs w:val="24"/>
          <w:shd w:val="clear" w:color="auto" w:fill="FFFFFF"/>
        </w:rPr>
        <w:t xml:space="preserve">Aerva lanata has a primarily bitter and astringent taste, is light and sharp, has hot potency, and has a pungent post-digestive effect. Bhadrika is recommended for treating Prameha </w:t>
      </w:r>
      <w:r w:rsidRPr="002646EE">
        <w:rPr>
          <w:rFonts w:ascii="Times New Roman" w:hAnsi="Times New Roman" w:cs="Times New Roman"/>
          <w:color w:val="252525"/>
          <w:sz w:val="24"/>
          <w:szCs w:val="24"/>
          <w:shd w:val="clear" w:color="auto" w:fill="FFFFFF"/>
        </w:rPr>
        <w:fldChar w:fldCharType="begin"/>
      </w:r>
      <w:r w:rsidRPr="002646EE">
        <w:rPr>
          <w:rFonts w:ascii="Times New Roman" w:hAnsi="Times New Roman" w:cs="Times New Roman"/>
          <w:color w:val="252525"/>
          <w:sz w:val="24"/>
          <w:szCs w:val="24"/>
          <w:shd w:val="clear" w:color="auto" w:fill="FFFFFF"/>
        </w:rPr>
        <w:instrText xml:space="preserve"> ADDIN ZOTERO_ITEM CSL_CITATION {"citationID":"cvJC4vHR","properties":{"formattedCitation":"(Sharma AP, 2015a)","plainCitation":"(Sharma AP, 2015a)","noteIndex":0},"citationItems":[{"id":230,"uris":["http://zotero.org/users/local/Eg2UsBJR/items/IJWNFZCX"],"itemData":{"id":230,"type":"book","number-of-pages":". p. 657-8.","title":"Ashamaribhedana. Uttar Pradesh: Chokhambha Sanshkrit;","author":[{"family":"Sharma AP","given":""}],"issued":{"date-parts":[["2015"]]}}}],"schema":"https://github.com/citation-style-language/schema/raw/master/csl-citation.json"} </w:instrText>
      </w:r>
      <w:r w:rsidRPr="002646EE">
        <w:rPr>
          <w:rFonts w:ascii="Times New Roman" w:hAnsi="Times New Roman" w:cs="Times New Roman"/>
          <w:color w:val="252525"/>
          <w:sz w:val="24"/>
          <w:szCs w:val="24"/>
          <w:shd w:val="clear" w:color="auto" w:fill="FFFFFF"/>
        </w:rPr>
        <w:fldChar w:fldCharType="separate"/>
      </w:r>
      <w:r w:rsidRPr="002646EE">
        <w:rPr>
          <w:rFonts w:ascii="Times New Roman" w:hAnsi="Times New Roman" w:cs="Times New Roman"/>
          <w:sz w:val="24"/>
          <w:szCs w:val="24"/>
        </w:rPr>
        <w:t>(Sharma AP, 2015a)</w:t>
      </w:r>
      <w:r w:rsidRPr="002646EE">
        <w:rPr>
          <w:rFonts w:ascii="Times New Roman" w:hAnsi="Times New Roman" w:cs="Times New Roman"/>
          <w:color w:val="252525"/>
          <w:sz w:val="24"/>
          <w:szCs w:val="24"/>
          <w:shd w:val="clear" w:color="auto" w:fill="FFFFFF"/>
        </w:rPr>
        <w:fldChar w:fldCharType="end"/>
      </w:r>
      <w:r w:rsidRPr="002646EE">
        <w:rPr>
          <w:rFonts w:ascii="Times New Roman" w:hAnsi="Times New Roman" w:cs="Times New Roman"/>
          <w:color w:val="252525"/>
          <w:sz w:val="24"/>
          <w:szCs w:val="24"/>
          <w:shd w:val="clear" w:color="auto" w:fill="FFFFFF"/>
        </w:rPr>
        <w:t>.</w:t>
      </w:r>
    </w:p>
    <w:p w:rsidR="00CB2BBE" w:rsidRPr="002646EE" w:rsidRDefault="00CB2BBE" w:rsidP="00CB2BBE">
      <w:pPr>
        <w:autoSpaceDE w:val="0"/>
        <w:autoSpaceDN w:val="0"/>
        <w:adjustRightInd w:val="0"/>
        <w:spacing w:after="0" w:line="360" w:lineRule="auto"/>
        <w:jc w:val="both"/>
        <w:rPr>
          <w:rStyle w:val="NormalWebChar"/>
          <w:rFonts w:eastAsiaTheme="minorHAnsi"/>
        </w:rPr>
      </w:pPr>
      <w:r w:rsidRPr="002646EE">
        <w:rPr>
          <w:rStyle w:val="NormalWebChar"/>
          <w:rFonts w:eastAsiaTheme="minorHAnsi"/>
        </w:rPr>
        <w:t>Alkaloid-rich fraction extracted from Aerva lanata exhibits significant anti-diabetic properties. The roots of Aerva lanata have been documented to have antidiabetic effects. In Ayurvedic medicine, the roots of Aerva lanata Linn is traditionally used for their antihyperglycemic properties (Agrawal et al., 2013).</w:t>
      </w:r>
    </w:p>
    <w:p w:rsidR="00CB2BBE" w:rsidRPr="002646EE" w:rsidRDefault="00CB2BBE" w:rsidP="002D6B34">
      <w:pPr>
        <w:pStyle w:val="Heading2"/>
        <w:rPr>
          <w:rStyle w:val="NormalWebChar"/>
          <w:rFonts w:eastAsiaTheme="minorHAnsi"/>
        </w:rPr>
      </w:pPr>
    </w:p>
    <w:p w:rsidR="00CB2BBE" w:rsidRPr="002646EE" w:rsidRDefault="00CB2BBE" w:rsidP="004803EF">
      <w:pPr>
        <w:rPr>
          <w:rStyle w:val="NormalWebChar"/>
          <w:rFonts w:eastAsiaTheme="minorHAnsi"/>
          <w:b/>
        </w:rPr>
      </w:pPr>
      <w:r w:rsidRPr="002646EE">
        <w:rPr>
          <w:rFonts w:ascii="Times New Roman" w:hAnsi="Times New Roman" w:cs="Times New Roman"/>
          <w:b/>
          <w:i/>
          <w:sz w:val="24"/>
          <w:szCs w:val="24"/>
        </w:rPr>
        <w:t>Sapthachakra (Salacia reticulata wight</w:t>
      </w:r>
      <w:r w:rsidRPr="002646EE">
        <w:rPr>
          <w:rStyle w:val="NormalWebChar"/>
          <w:rFonts w:eastAsiaTheme="minorHAnsi"/>
          <w:b/>
        </w:rPr>
        <w:t>)</w:t>
      </w:r>
    </w:p>
    <w:p w:rsidR="00CB2BBE" w:rsidRPr="002646EE" w:rsidRDefault="00CB2BBE" w:rsidP="00CB2BBE">
      <w:pPr>
        <w:autoSpaceDE w:val="0"/>
        <w:autoSpaceDN w:val="0"/>
        <w:adjustRightInd w:val="0"/>
        <w:spacing w:after="0" w:line="360" w:lineRule="auto"/>
        <w:jc w:val="both"/>
        <w:rPr>
          <w:rStyle w:val="NormalWebChar"/>
          <w:rFonts w:eastAsiaTheme="minorHAnsi"/>
          <w:b/>
          <w:bCs/>
        </w:rPr>
      </w:pPr>
      <w:r w:rsidRPr="002646EE">
        <w:rPr>
          <w:rFonts w:ascii="Times New Roman" w:hAnsi="Times New Roman" w:cs="Times New Roman"/>
          <w:i/>
          <w:iCs/>
          <w:color w:val="000000"/>
          <w:sz w:val="24"/>
          <w:szCs w:val="24"/>
        </w:rPr>
        <w:t>Salacia reticulata wight</w:t>
      </w:r>
      <w:r w:rsidRPr="002646EE">
        <w:rPr>
          <w:rStyle w:val="NormalWebChar"/>
          <w:rFonts w:eastAsiaTheme="minorHAnsi"/>
          <w:b/>
        </w:rPr>
        <w:t xml:space="preserve"> </w:t>
      </w:r>
      <w:r w:rsidRPr="002646EE">
        <w:rPr>
          <w:rStyle w:val="NormalWebChar"/>
          <w:rFonts w:eastAsiaTheme="minorHAnsi"/>
        </w:rPr>
        <w:t xml:space="preserve">possesses Tikta and Kashaya as its primary tastes, with Laghu, Ruksha, and Tikshna as its attributes, Ushna as its potency, and Katu as its post-digestive effect. It is recommended for the treatment of </w:t>
      </w:r>
      <w:r w:rsidRPr="002646EE">
        <w:rPr>
          <w:rFonts w:ascii="Times New Roman" w:hAnsi="Times New Roman" w:cs="Times New Roman"/>
          <w:i/>
          <w:iCs/>
          <w:color w:val="000000"/>
          <w:sz w:val="24"/>
          <w:szCs w:val="24"/>
        </w:rPr>
        <w:t>Madhumehahara</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{"citationID":"NnyU94rz","properties":{"formattedCitation":"(Sharma AP, 2015d)","plainCitation":"(Sharma AP, 2015d)","noteIndex":0},"citationItems":[{"id":280,"uris":["http://zotero.org/users/local/Eg2UsBJR/items/6TKZ4X6H"],"itemData":{"id":280,"type":"book","event-place":"Uttar Pradesh:","number-of-pages":"p. 686-7.","publisher-place":"Uttar Pradesh:","title":"Madhumehahara Chokhambha Sanshkrit","author":[{"family":"Sharma AP","given":""}],"issued":{"date-parts":[["2015"]]}}}],"schema":"https://github.com/citation-style-language/schema/raw/master/csl-citation.json"}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(Sharma AP, 2015d)</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Style w:val="NormalWebChar"/>
          <w:rFonts w:eastAsiaTheme="minorHAnsi"/>
        </w:rPr>
        <w:t xml:space="preserve">The  extract from the root bark of </w:t>
      </w:r>
      <w:r w:rsidRPr="002646EE">
        <w:rPr>
          <w:rStyle w:val="NormalWebChar"/>
          <w:rFonts w:eastAsiaTheme="minorHAnsi"/>
          <w:i/>
        </w:rPr>
        <w:t>S. reticulata</w:t>
      </w:r>
      <w:r w:rsidRPr="002646EE">
        <w:rPr>
          <w:rStyle w:val="NormalWebChar"/>
          <w:rFonts w:eastAsiaTheme="minorHAnsi"/>
        </w:rPr>
        <w:t xml:space="preserve"> has shown hypoglycemic effects in healthy mice models. </w:t>
      </w:r>
      <w:r w:rsidR="00903EA3">
        <w:rPr>
          <w:rStyle w:val="NormalWebChar"/>
          <w:rFonts w:eastAsiaTheme="minorHAnsi"/>
        </w:rPr>
        <w:t xml:space="preserve">Different substances derived from the stem and roots </w:t>
      </w:r>
      <w:r w:rsidRPr="002646EE">
        <w:rPr>
          <w:rStyle w:val="NormalWebChar"/>
          <w:rFonts w:eastAsiaTheme="minorHAnsi"/>
        </w:rPr>
        <w:t xml:space="preserve">of </w:t>
      </w:r>
      <w:r w:rsidRPr="002646EE">
        <w:rPr>
          <w:rStyle w:val="NormalWebChar"/>
          <w:rFonts w:eastAsiaTheme="minorHAnsi"/>
          <w:i/>
        </w:rPr>
        <w:t>S. reticulata</w:t>
      </w:r>
      <w:r w:rsidRPr="002646EE">
        <w:rPr>
          <w:rStyle w:val="NormalWebChar"/>
          <w:rFonts w:eastAsiaTheme="minorHAnsi"/>
        </w:rPr>
        <w:t xml:space="preserve"> have shown to enhance glucose tolerance while significantly lowering fasting blood sugar , glycated hemoglobin, and fructosamine levels.It have reduced hyperphagia, polydipsia, and weight loss in rats</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{"citationID":"hdaXdHRj","properties":{"formattedCitation":"(Ruvin Kumara et al., 2005)","plainCitation":"(Ruvin Kumara et al., 2005)","noteIndex":0},"citationItems":[{"id":281,"uris":["http://zotero.org/users/local/Eg2UsBJR/items/BT9MLNX9"],"itemData":{"id":281,"type":"article-journal","container-title":"Pharmaceutical Biology","DOI":"10.1080/13880200590928780","ISSN":"1388-0209, 1744-5116","issue":"3","journalAbbreviation":"Pharmaceutical Biology","language":"en","page":"219-225","source":"DOI.org (Crossref)","title":"Hypoglycemic Activity of the Root and Stem of &lt;i&gt;Salacia reticulata&lt;/i&gt; . var. β- &lt;i&gt;diandra&lt;/i&gt; . in Alloxan Diabetic Rats","volume":"43","author":[{"family":"Ruvin Kumara","given":"N.K.V.M."},{"family":"Pathirana","given":"R.N."},{"family":"Pathirana","given":"C."}],"issued":{"date-parts":[["2005",1]]}}}],"schema":"https://github.com/citation-style-language/schema/raw/master/csl-citation.json"}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(Ruvin Kumara et al., 2005)</w:t>
      </w:r>
      <w:r w:rsidRPr="002646EE">
        <w:rPr>
          <w:rFonts w:ascii="Times New Roman" w:hAnsi="Times New Roman" w:cs="Times New Roman"/>
          <w:sz w:val="24"/>
          <w:szCs w:val="24"/>
        </w:rPr>
        <w:fldChar w:fldCharType="end"/>
      </w:r>
      <w:r w:rsidRPr="002646EE">
        <w:rPr>
          <w:rStyle w:val="NormalWebChar"/>
          <w:rFonts w:eastAsiaTheme="minorHAnsi"/>
        </w:rPr>
        <w:t>.It regulates the mRNA levels of genes involved in liver glucose metabolism and controls the expression of several genes associated with the TCA cycle and glycolysis</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{"citationID":"f0Bpdm6k","properties":{"formattedCitation":"(Im et al., 2009)","plainCitation":"(Im et al., 2009)","noteIndex":0},"citationItems":[{"id":283,"uris":["http://zotero.org/users/local/Eg2UsBJR/items/MAVQC23D"],"itemData":{"id":283,"type":"article-journal","container-title":"Journal of Ethnopharmacology","DOI":"10.1016/j.jep.2008.10.026","ISSN":"03788741","issue":"2","journalAbbreviation":"Journal of Ethnopharmacology","language":"en","license":"https://www.elsevier.com/tdm/userlicense/1.0/","page":"234-240","source":"DOI.org (Crossref)","title":"Mechanisms of blood glucose-lowering effect of aqueous extract from stems of Kothala himbutu (Salacia reticulata) in the mouse","volume":"121","author":[{"family":"Im","given":"Ryanghyok"},{"family":"Mano","given":"Hiroshi"},{"family":"Matsuura","given":"Tomokazu"},{"family":"Nakatani","given":"Sachie"},{"family":"Shimizu","given":"Jun"},{"family":"Wada","given":"Masahiro"}],"issued":{"date-parts":[["2009",1]]}}}],"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(Im et al., 2009)</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CB2BBE" w:rsidRPr="002646EE" w:rsidRDefault="00CB2BBE" w:rsidP="002D6B34">
      <w:pPr>
        <w:pStyle w:val="Heading2"/>
      </w:pPr>
    </w:p>
    <w:p w:rsidR="00CB2BBE" w:rsidRPr="002646EE" w:rsidRDefault="00CB2BBE" w:rsidP="004803EF">
      <w:pPr>
        <w:rPr>
          <w:rFonts w:ascii="Times New Roman" w:hAnsi="Times New Roman" w:cs="Times New Roman"/>
          <w:b/>
          <w:i/>
          <w:sz w:val="24"/>
          <w:szCs w:val="24"/>
        </w:rPr>
      </w:pPr>
      <w:r w:rsidRPr="002646EE">
        <w:rPr>
          <w:rFonts w:ascii="Times New Roman" w:hAnsi="Times New Roman" w:cs="Times New Roman"/>
          <w:b/>
          <w:i/>
          <w:sz w:val="24"/>
          <w:szCs w:val="24"/>
        </w:rPr>
        <w:t>Usheera (Vetiveria zizanioides)</w:t>
      </w:r>
    </w:p>
    <w:p w:rsidR="00CB2BBE" w:rsidRPr="002646EE" w:rsidRDefault="00CB2BBE" w:rsidP="00CB2BBE">
      <w:pPr>
        <w:spacing w:after="0" w:line="360" w:lineRule="auto"/>
        <w:jc w:val="both"/>
        <w:rPr>
          <w:rFonts w:ascii="Times New Roman" w:eastAsia="Times New Roman" w:hAnsi="Times New Roman" w:cs="Times New Roman"/>
          <w:sz w:val="24"/>
          <w:szCs w:val="24"/>
          <w:lang w:eastAsia="en-IN"/>
        </w:rPr>
      </w:pPr>
      <w:r w:rsidRPr="002646EE">
        <w:rPr>
          <w:rFonts w:ascii="Times New Roman" w:eastAsia="Times New Roman" w:hAnsi="Times New Roman" w:cs="Times New Roman"/>
          <w:sz w:val="24"/>
          <w:szCs w:val="24"/>
          <w:lang w:eastAsia="en-IN"/>
        </w:rPr>
        <w:t>It has tikta and madhura pradhana rasa, laghu, Ruksha, and tikshna guna, sheeta virya, and katu vipaka, and is indicated for Prameha</w:t>
      </w:r>
      <w:r w:rsidRPr="002646EE">
        <w:rPr>
          <w:rFonts w:ascii="Times New Roman" w:eastAsia="Times New Roman" w:hAnsi="Times New Roman" w:cs="Times New Roman"/>
          <w:sz w:val="24"/>
          <w:szCs w:val="24"/>
          <w:lang w:eastAsia="en-IN"/>
        </w:rPr>
        <w:fldChar w:fldCharType="begin"/>
      </w:r>
      <w:r w:rsidRPr="002646EE">
        <w:rPr>
          <w:rFonts w:ascii="Times New Roman" w:eastAsia="Times New Roman" w:hAnsi="Times New Roman" w:cs="Times New Roman"/>
          <w:sz w:val="24"/>
          <w:szCs w:val="24"/>
          <w:lang w:eastAsia="en-IN"/>
        </w:rPr>
        <w:instrText xml:space="preserve"> ADDIN ZOTERO_ITEM CSL_CITATION {"citationID":"XDQ9r9uA","properties":{"formattedCitation":"(Sharma AP, 2015e)","plainCitation":"(Sharma AP, 2015e)","noteIndex":0},"citationItems":[{"id":284,"uris":["http://zotero.org/users/local/Eg2UsBJR/items/SW6ZKZW4"],"itemData":{"id":284,"type":"book","event-place":"Uttar Pradesh","number-of-pages":"p. 114-6.","publisher-place":"Uttar Pradesh","title":"SwedapanayanaChokhambha Sanshkrit","author":[{"family":"Sharma AP","given":""}],"issued":{"date-parts":[["2015"]]}}}],"schema":"https://github.com/citation-style-language/schema/raw/master/csl-citation.json"} </w:instrText>
      </w:r>
      <w:r w:rsidRPr="002646EE">
        <w:rPr>
          <w:rFonts w:ascii="Times New Roman" w:eastAsia="Times New Roman" w:hAnsi="Times New Roman" w:cs="Times New Roman"/>
          <w:sz w:val="24"/>
          <w:szCs w:val="24"/>
          <w:lang w:eastAsia="en-IN"/>
        </w:rPr>
        <w:fldChar w:fldCharType="separate"/>
      </w:r>
      <w:r w:rsidRPr="002646EE">
        <w:rPr>
          <w:rFonts w:ascii="Times New Roman" w:hAnsi="Times New Roman" w:cs="Times New Roman"/>
          <w:sz w:val="24"/>
          <w:szCs w:val="24"/>
        </w:rPr>
        <w:t>(Sharma AP, 2015e)</w:t>
      </w:r>
      <w:r w:rsidRPr="002646EE">
        <w:rPr>
          <w:rFonts w:ascii="Times New Roman" w:eastAsia="Times New Roman" w:hAnsi="Times New Roman" w:cs="Times New Roman"/>
          <w:sz w:val="24"/>
          <w:szCs w:val="24"/>
          <w:lang w:eastAsia="en-IN"/>
        </w:rPr>
        <w:fldChar w:fldCharType="end"/>
      </w:r>
      <w:r w:rsidRPr="002646EE">
        <w:rPr>
          <w:rFonts w:ascii="Times New Roman" w:eastAsia="Times New Roman" w:hAnsi="Times New Roman" w:cs="Times New Roman"/>
          <w:sz w:val="24"/>
          <w:szCs w:val="24"/>
          <w:lang w:eastAsia="en-IN"/>
        </w:rPr>
        <w:t>.</w:t>
      </w:r>
    </w:p>
    <w:p w:rsidR="004803EF" w:rsidRPr="002646EE" w:rsidRDefault="00CB2BBE" w:rsidP="00765E7D">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i/>
          <w:sz w:val="24"/>
          <w:szCs w:val="24"/>
        </w:rPr>
        <w:t>Vetiver zizanioides</w:t>
      </w:r>
      <w:r w:rsidRPr="002646EE">
        <w:rPr>
          <w:rStyle w:val="NormalWebChar"/>
          <w:rFonts w:eastAsia="ArialMT"/>
        </w:rPr>
        <w:t xml:space="preserve"> root extracts have shown hypoglycaemic and antihyperglycaemic activity as it lowered blood glucose level in diabetic rats</w:t>
      </w:r>
    </w:p>
    <w:p w:rsidR="004803EF" w:rsidRPr="002646EE" w:rsidRDefault="004803EF" w:rsidP="00765E7D">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2D6B34">
      <w:pPr>
        <w:pStyle w:val="Heading2"/>
      </w:pPr>
      <w:bookmarkStart w:id="12" w:name="_Toc171420541"/>
      <w:r w:rsidRPr="002646EE">
        <w:lastRenderedPageBreak/>
        <w:t xml:space="preserve">1.7 </w:t>
      </w:r>
      <w:r w:rsidRPr="002646EE">
        <w:rPr>
          <w:i/>
        </w:rPr>
        <w:t>Varanadi</w:t>
      </w:r>
      <w:r w:rsidRPr="002646EE">
        <w:t xml:space="preserve"> formulation</w:t>
      </w:r>
      <w:bookmarkEnd w:id="12"/>
    </w:p>
    <w:p w:rsidR="00CB2BBE" w:rsidRDefault="00CB2BBE" w:rsidP="00CB2BBE">
      <w:pPr>
        <w:autoSpaceDE w:val="0"/>
        <w:autoSpaceDN w:val="0"/>
        <w:adjustRightInd w:val="0"/>
        <w:spacing w:after="0" w:line="360" w:lineRule="auto"/>
        <w:jc w:val="both"/>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 xml:space="preserve">Varanadi </w:t>
      </w:r>
      <w:r w:rsidRPr="002646EE">
        <w:rPr>
          <w:rFonts w:ascii="Times New Roman" w:eastAsia="ArialMT" w:hAnsi="Times New Roman" w:cs="Times New Roman"/>
          <w:color w:val="000000"/>
          <w:sz w:val="24"/>
          <w:szCs w:val="24"/>
        </w:rPr>
        <w:t>kashaya is a polyherbal formulation explained in an Ayurveda classical text of</w:t>
      </w:r>
      <w:r w:rsidRPr="002646EE">
        <w:rPr>
          <w:rFonts w:ascii="Times New Roman" w:eastAsia="ArialMT" w:hAnsi="Times New Roman" w:cs="Times New Roman"/>
          <w:i/>
          <w:iCs/>
          <w:color w:val="000000"/>
          <w:sz w:val="24"/>
          <w:szCs w:val="24"/>
        </w:rPr>
        <w:t xml:space="preserve"> ashtangahrudayam suthrasthana 15 chapter (Shloka 21-22).</w:t>
      </w:r>
    </w:p>
    <w:p w:rsidR="0094376E" w:rsidRDefault="0094376E" w:rsidP="0094376E">
      <w:pPr>
        <w:pStyle w:val="NormalWeb"/>
        <w:spacing w:before="200" w:beforeAutospacing="0" w:after="0" w:afterAutospacing="0" w:line="216" w:lineRule="auto"/>
      </w:pPr>
      <w:r>
        <w:rPr>
          <w:rFonts w:eastAsiaTheme="minorEastAsia" w:cs="Nirmala UI" w:hint="cs"/>
          <w:color w:val="000000" w:themeColor="text1"/>
          <w:kern w:val="24"/>
          <w:sz w:val="28"/>
          <w:szCs w:val="28"/>
          <w:cs/>
          <w:lang w:bidi="hi-IN"/>
        </w:rPr>
        <w:t>वरुणसैर्यकयुग्मशतावरी दहनमोरट बिल्वविषाणिकाः ।</w:t>
      </w:r>
    </w:p>
    <w:p w:rsidR="0094376E" w:rsidRDefault="0094376E" w:rsidP="0094376E">
      <w:pPr>
        <w:pStyle w:val="NormalWeb"/>
        <w:spacing w:before="200" w:beforeAutospacing="0" w:after="0" w:afterAutospacing="0" w:line="216" w:lineRule="auto"/>
      </w:pPr>
      <w:r>
        <w:rPr>
          <w:rFonts w:eastAsiaTheme="minorEastAsia" w:cs="Nirmala UI" w:hint="cs"/>
          <w:color w:val="000000" w:themeColor="text1"/>
          <w:kern w:val="24"/>
          <w:sz w:val="28"/>
          <w:szCs w:val="28"/>
          <w:cs/>
          <w:lang w:bidi="hi-IN"/>
        </w:rPr>
        <w:t>द्विबृहतीद्विकरञ्जाजयद्वयं बहलपल्लवदर्भारुजाकराः।।२१।।</w:t>
      </w:r>
    </w:p>
    <w:p w:rsidR="0094376E" w:rsidRDefault="0094376E" w:rsidP="0094376E">
      <w:pPr>
        <w:pStyle w:val="NormalWeb"/>
        <w:spacing w:before="200" w:beforeAutospacing="0" w:after="0" w:afterAutospacing="0" w:line="216" w:lineRule="auto"/>
      </w:pPr>
      <w:r>
        <w:rPr>
          <w:rFonts w:eastAsiaTheme="minorEastAsia" w:cs="Nirmala UI" w:hint="cs"/>
          <w:color w:val="000000" w:themeColor="text1"/>
          <w:kern w:val="24"/>
          <w:sz w:val="28"/>
          <w:szCs w:val="28"/>
          <w:cs/>
          <w:lang w:bidi="hi-IN"/>
        </w:rPr>
        <w:t>वरुणादिः कफा मेदो मन्दाग्नित्वं नियच्छति ।</w:t>
      </w:r>
    </w:p>
    <w:p w:rsidR="0094376E" w:rsidRDefault="0094376E" w:rsidP="0094376E">
      <w:pPr>
        <w:pStyle w:val="NormalWeb"/>
        <w:spacing w:before="200" w:beforeAutospacing="0" w:after="0" w:afterAutospacing="0" w:line="216" w:lineRule="auto"/>
      </w:pPr>
      <w:r>
        <w:rPr>
          <w:rFonts w:eastAsiaTheme="minorEastAsia" w:cs="Nirmala UI" w:hint="cs"/>
          <w:color w:val="000000" w:themeColor="text1"/>
          <w:kern w:val="24"/>
          <w:sz w:val="28"/>
          <w:szCs w:val="28"/>
          <w:cs/>
          <w:lang w:bidi="hi-IN"/>
        </w:rPr>
        <w:t>आढयवातं शिरःशूलं गुल्मं चान्तः सविद्रधिम्  ।।२२।।</w:t>
      </w:r>
    </w:p>
    <w:p w:rsidR="0094376E" w:rsidRPr="002646EE" w:rsidRDefault="0094376E" w:rsidP="00CB2BBE">
      <w:pPr>
        <w:autoSpaceDE w:val="0"/>
        <w:autoSpaceDN w:val="0"/>
        <w:adjustRightInd w:val="0"/>
        <w:spacing w:after="0" w:line="360" w:lineRule="auto"/>
        <w:jc w:val="both"/>
        <w:rPr>
          <w:rFonts w:ascii="Times New Roman" w:eastAsia="ArialMT" w:hAnsi="Times New Roman" w:cs="Times New Roman"/>
          <w:i/>
          <w:iCs/>
          <w:color w:val="000000"/>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 xml:space="preserve">The </w:t>
      </w:r>
      <w:r w:rsidRPr="002646EE">
        <w:rPr>
          <w:rFonts w:ascii="Times New Roman" w:eastAsia="ArialMT" w:hAnsi="Times New Roman" w:cs="Times New Roman"/>
          <w:i/>
          <w:iCs/>
          <w:color w:val="000000"/>
          <w:sz w:val="24"/>
          <w:szCs w:val="24"/>
        </w:rPr>
        <w:t xml:space="preserve">varunadi </w:t>
      </w:r>
      <w:r w:rsidRPr="002646EE">
        <w:rPr>
          <w:rStyle w:val="NormalWebChar"/>
          <w:rFonts w:eastAsia="ArialMT"/>
        </w:rPr>
        <w:t xml:space="preserve">group which subjugates </w:t>
      </w:r>
      <w:r w:rsidRPr="002646EE">
        <w:rPr>
          <w:rFonts w:ascii="Times New Roman" w:eastAsia="ArialMT" w:hAnsi="Times New Roman" w:cs="Times New Roman"/>
          <w:i/>
          <w:iCs/>
          <w:color w:val="000000"/>
          <w:sz w:val="24"/>
          <w:szCs w:val="24"/>
        </w:rPr>
        <w:t>kapha,</w:t>
      </w:r>
      <w:r w:rsidRPr="002646EE">
        <w:rPr>
          <w:rStyle w:val="NormalWebChar"/>
          <w:rFonts w:eastAsia="ArialMT"/>
        </w:rPr>
        <w:t xml:space="preserve"> checks fat and dyspepsia, is also capable of curing the rigidity of thigh aches, tumors, and abscesses inside the stomach. The group includes  the following plants: </w:t>
      </w:r>
      <w:r w:rsidRPr="002646EE">
        <w:rPr>
          <w:rFonts w:ascii="Times New Roman" w:eastAsia="ArialMT" w:hAnsi="Times New Roman" w:cs="Times New Roman"/>
          <w:i/>
          <w:iCs/>
          <w:color w:val="000000"/>
          <w:sz w:val="24"/>
          <w:szCs w:val="24"/>
        </w:rPr>
        <w:t>Varuna</w:t>
      </w:r>
      <w:r w:rsidRPr="002646EE">
        <w:rPr>
          <w:rFonts w:ascii="Times New Roman" w:eastAsia="ArialMT" w:hAnsi="Times New Roman" w:cs="Times New Roman"/>
          <w:color w:val="000000"/>
          <w:sz w:val="24"/>
          <w:szCs w:val="24"/>
        </w:rPr>
        <w:t xml:space="preserve">, the two </w:t>
      </w:r>
      <w:r w:rsidR="00BC7E9C" w:rsidRPr="002646EE">
        <w:rPr>
          <w:rFonts w:ascii="Times New Roman" w:eastAsia="ArialMT" w:hAnsi="Times New Roman" w:cs="Times New Roman"/>
          <w:i/>
          <w:iCs/>
          <w:color w:val="000000"/>
          <w:sz w:val="24"/>
          <w:szCs w:val="24"/>
        </w:rPr>
        <w:t xml:space="preserve"> </w:t>
      </w:r>
      <w:r w:rsidRPr="002646EE">
        <w:rPr>
          <w:rFonts w:ascii="Times New Roman" w:eastAsia="ArialMT" w:hAnsi="Times New Roman" w:cs="Times New Roman"/>
          <w:i/>
          <w:iCs/>
          <w:color w:val="000000"/>
          <w:sz w:val="24"/>
          <w:szCs w:val="24"/>
        </w:rPr>
        <w:t>sairyaka, satavari, dahana, morata, bilva</w:t>
      </w:r>
      <w:r w:rsidRPr="002646EE">
        <w:rPr>
          <w:rFonts w:ascii="Times New Roman" w:eastAsia="ArialMT" w:hAnsi="Times New Roman" w:cs="Times New Roman"/>
          <w:color w:val="000000"/>
          <w:sz w:val="24"/>
          <w:szCs w:val="24"/>
        </w:rPr>
        <w:t xml:space="preserve">, and </w:t>
      </w:r>
      <w:r w:rsidRPr="002646EE">
        <w:rPr>
          <w:rFonts w:ascii="Times New Roman" w:eastAsia="ArialMT" w:hAnsi="Times New Roman" w:cs="Times New Roman"/>
          <w:i/>
          <w:iCs/>
          <w:color w:val="000000"/>
          <w:sz w:val="24"/>
          <w:szCs w:val="24"/>
        </w:rPr>
        <w:t>vishanika,</w:t>
      </w:r>
      <w:r w:rsidRPr="002646EE">
        <w:rPr>
          <w:rFonts w:ascii="Times New Roman" w:eastAsia="ArialMT" w:hAnsi="Times New Roman" w:cs="Times New Roman"/>
          <w:color w:val="000000"/>
          <w:sz w:val="24"/>
          <w:szCs w:val="24"/>
        </w:rPr>
        <w:t xml:space="preserve"> the two </w:t>
      </w:r>
      <w:r w:rsidRPr="002646EE">
        <w:rPr>
          <w:rFonts w:ascii="Times New Roman" w:eastAsia="ArialMT" w:hAnsi="Times New Roman" w:cs="Times New Roman"/>
          <w:i/>
          <w:iCs/>
          <w:color w:val="000000"/>
          <w:sz w:val="24"/>
          <w:szCs w:val="24"/>
        </w:rPr>
        <w:t>brihati</w:t>
      </w:r>
      <w:r w:rsidRPr="002646EE">
        <w:rPr>
          <w:rFonts w:ascii="Times New Roman" w:eastAsia="ArialMT" w:hAnsi="Times New Roman" w:cs="Times New Roman"/>
          <w:color w:val="000000"/>
          <w:sz w:val="24"/>
          <w:szCs w:val="24"/>
        </w:rPr>
        <w:t xml:space="preserve">, the two </w:t>
      </w:r>
      <w:r w:rsidRPr="002646EE">
        <w:rPr>
          <w:rFonts w:ascii="Times New Roman" w:eastAsia="ArialMT" w:hAnsi="Times New Roman" w:cs="Times New Roman"/>
          <w:i/>
          <w:iCs/>
          <w:color w:val="000000"/>
          <w:sz w:val="24"/>
          <w:szCs w:val="24"/>
        </w:rPr>
        <w:t>karanja</w:t>
      </w:r>
      <w:r w:rsidRPr="002646EE">
        <w:rPr>
          <w:rFonts w:ascii="Times New Roman" w:eastAsia="ArialMT" w:hAnsi="Times New Roman" w:cs="Times New Roman"/>
          <w:color w:val="000000"/>
          <w:sz w:val="24"/>
          <w:szCs w:val="24"/>
        </w:rPr>
        <w:t xml:space="preserve">, the two </w:t>
      </w:r>
      <w:r w:rsidRPr="002646EE">
        <w:rPr>
          <w:rFonts w:ascii="Times New Roman" w:eastAsia="ArialMT" w:hAnsi="Times New Roman" w:cs="Times New Roman"/>
          <w:i/>
          <w:iCs/>
          <w:color w:val="000000"/>
          <w:sz w:val="24"/>
          <w:szCs w:val="24"/>
        </w:rPr>
        <w:t>jaya, bahalapallava, darbha</w:t>
      </w:r>
      <w:r w:rsidRPr="002646EE">
        <w:rPr>
          <w:rFonts w:ascii="Times New Roman" w:eastAsia="ArialMT" w:hAnsi="Times New Roman" w:cs="Times New Roman"/>
          <w:color w:val="000000"/>
          <w:sz w:val="24"/>
          <w:szCs w:val="24"/>
        </w:rPr>
        <w:t xml:space="preserve"> and </w:t>
      </w:r>
      <w:r w:rsidRPr="002646EE">
        <w:rPr>
          <w:rFonts w:ascii="Times New Roman" w:eastAsia="ArialMT" w:hAnsi="Times New Roman" w:cs="Times New Roman"/>
          <w:i/>
          <w:iCs/>
          <w:color w:val="000000"/>
          <w:sz w:val="24"/>
          <w:szCs w:val="24"/>
        </w:rPr>
        <w:t>rujakara.</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 xml:space="preserve">Ayurvedic texts mention VA kashayam for treating hyperlipidemia abscesses, tumors and chronic arthritis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{"citationID":"EAuZ1rgE","properties":{"formattedCitation":"(Bhishagratna, 1907)","plainCitation":"(Bhishagratna, 1907)","noteIndex":0},"citationItems":[{"id":233,"uris":["http://zotero.org/users/local/Eg2UsBJR/items/SKAE2AP6"],"itemData":{"id":233,"type":"book","title":"Sushrutha samhitha sutrasthanam","author":[{"family":"Bhishagratna","given":"K.L"}],"issued":{"date-parts":[["1907"]]}}}],"schema":"https://github.com/citation-style-language/schema/raw/master/csl-citation.json"}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(Bhishagratna, 1907)</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{"citationID":"GafSVpgO","properties":{"formattedCitation":"(Vishnu P.M &amp; Sripathi A, 2017)","plainCitation":"(Vishnu P.M &amp; Sripathi A, 2017)","noteIndex":0},"citationItems":[{"id":234,"uris":["http://zotero.org/users/local/Eg2UsBJR/items/EDMMFGYD"],"itemData":{"id":234,"type":"article-journal","title":"Varanadi kashaya in the management of sthaulya (Obesity)-A clinical trial","author":[{"family":"Vishnu P.M","given":""},{"family":"Sripathi A","given":""}],"issued":{"date-parts":[["2017"]]}}}],"schema":"https://github.com/citation-style-language/schema/raw/master/csl-citation.json"}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(Vishnu P.M &amp; Sripathi A, 2017)</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 xml:space="preserve"> and have documented its antioxidant, anti-lipase, anti-inflammtory, and anti-adipogenic effects.</w:t>
      </w:r>
    </w:p>
    <w:p w:rsidR="00CB2BBE" w:rsidRPr="002646EE" w:rsidRDefault="00CB2BBE" w:rsidP="00BC7E9C">
      <w:pPr>
        <w:autoSpaceDE w:val="0"/>
        <w:autoSpaceDN w:val="0"/>
        <w:adjustRightInd w:val="0"/>
        <w:spacing w:after="0" w:line="360" w:lineRule="auto"/>
        <w:jc w:val="both"/>
        <w:rPr>
          <w:rFonts w:ascii="Times New Roman" w:eastAsia="ArialMT" w:hAnsi="Times New Roman" w:cs="Times New Roman"/>
          <w:sz w:val="24"/>
          <w:szCs w:val="24"/>
          <w:lang w:eastAsia="en-IN"/>
        </w:rPr>
        <w:sectPr w:rsidR="00CB2BBE" w:rsidRPr="002646EE" w:rsidSect="00A84C31">
          <w:pgSz w:w="11906" w:h="16838"/>
          <w:pgMar w:top="1440" w:right="1440" w:bottom="1440" w:left="1440" w:header="708" w:footer="708" w:gutter="0"/>
          <w:cols w:space="708"/>
          <w:docGrid w:linePitch="360"/>
        </w:sectPr>
      </w:pPr>
      <w:r w:rsidRPr="002646EE">
        <w:rPr>
          <w:rStyle w:val="NormalWebChar"/>
          <w:rFonts w:eastAsia="ArialMT"/>
        </w:rPr>
        <w:t xml:space="preserve">                        </w:t>
      </w:r>
    </w:p>
    <w:p w:rsidR="00BC7E9C" w:rsidRPr="002646EE" w:rsidRDefault="00765E7D" w:rsidP="00BC7E9C">
      <w:pPr>
        <w:autoSpaceDE w:val="0"/>
        <w:autoSpaceDN w:val="0"/>
        <w:adjustRightInd w:val="0"/>
        <w:spacing w:after="0" w:line="360" w:lineRule="auto"/>
        <w:rPr>
          <w:rStyle w:val="NormalWebChar"/>
          <w:rFonts w:eastAsia="ArialMT"/>
        </w:rPr>
      </w:pPr>
      <w:r w:rsidRPr="002646EE">
        <w:rPr>
          <w:rFonts w:ascii="Times New Roman" w:eastAsia="ArialMT" w:hAnsi="Times New Roman" w:cs="Times New Roman"/>
          <w:b/>
          <w:sz w:val="24"/>
          <w:szCs w:val="24"/>
        </w:rPr>
        <w:lastRenderedPageBreak/>
        <w:t xml:space="preserve">                                                  </w:t>
      </w:r>
      <w:r w:rsidR="00BC7E9C" w:rsidRPr="002646EE">
        <w:rPr>
          <w:rFonts w:ascii="Times New Roman" w:eastAsia="ArialMT" w:hAnsi="Times New Roman" w:cs="Times New Roman"/>
          <w:b/>
          <w:sz w:val="24"/>
          <w:szCs w:val="24"/>
        </w:rPr>
        <w:t xml:space="preserve">TABLE 2.  </w:t>
      </w:r>
      <w:r w:rsidR="00BC7E9C" w:rsidRPr="002646EE">
        <w:rPr>
          <w:rFonts w:ascii="Times New Roman" w:eastAsia="ArialMT" w:hAnsi="Times New Roman" w:cs="Times New Roman"/>
          <w:b/>
          <w:sz w:val="24"/>
          <w:szCs w:val="24"/>
          <w:u w:val="single"/>
        </w:rPr>
        <w:t xml:space="preserve">Ingredients and Properties of </w:t>
      </w:r>
      <w:r w:rsidR="00BC7E9C" w:rsidRPr="002646EE">
        <w:rPr>
          <w:rFonts w:ascii="Times New Roman" w:eastAsia="ArialMT" w:hAnsi="Times New Roman" w:cs="Times New Roman"/>
          <w:b/>
          <w:i/>
          <w:sz w:val="24"/>
          <w:szCs w:val="24"/>
          <w:u w:val="single"/>
        </w:rPr>
        <w:t>Varanadi</w:t>
      </w:r>
      <w:r w:rsidR="00BC7E9C" w:rsidRPr="002646EE">
        <w:rPr>
          <w:rFonts w:ascii="Times New Roman" w:eastAsia="ArialMT" w:hAnsi="Times New Roman" w:cs="Times New Roman"/>
          <w:b/>
          <w:sz w:val="24"/>
          <w:szCs w:val="24"/>
          <w:u w:val="single"/>
        </w:rPr>
        <w:t xml:space="preserve"> formulation</w:t>
      </w:r>
    </w:p>
    <w:p w:rsidR="00BC7E9C" w:rsidRPr="002646EE" w:rsidRDefault="00BC7E9C" w:rsidP="00BC7E9C">
      <w:pPr>
        <w:rPr>
          <w:rStyle w:val="NormalWebChar"/>
          <w:rFonts w:eastAsia="ArialMT"/>
        </w:rPr>
      </w:pPr>
    </w:p>
    <w:tbl>
      <w:tblPr>
        <w:tblStyle w:val="TableGrid"/>
        <w:tblW w:w="15711" w:type="dxa"/>
        <w:tblInd w:w="-572" w:type="dxa"/>
        <w:tblLook w:val="04A0" w:firstRow="1" w:lastRow="0" w:firstColumn="1" w:lastColumn="0" w:noHBand="0" w:noVBand="1"/>
      </w:tblPr>
      <w:tblGrid>
        <w:gridCol w:w="2977"/>
        <w:gridCol w:w="1843"/>
        <w:gridCol w:w="1559"/>
        <w:gridCol w:w="3686"/>
        <w:gridCol w:w="3456"/>
        <w:gridCol w:w="1134"/>
        <w:gridCol w:w="1110"/>
      </w:tblGrid>
      <w:tr w:rsidR="00E1701B" w:rsidRPr="002646EE" w:rsidTr="00C2168A">
        <w:trPr>
          <w:trHeight w:val="348"/>
        </w:trPr>
        <w:tc>
          <w:tcPr>
            <w:tcW w:w="2977" w:type="dxa"/>
            <w:shd w:val="clear" w:color="auto" w:fill="E2EFD9" w:themeFill="accent6" w:themeFillTint="33"/>
            <w:noWrap/>
            <w:hideMark/>
          </w:tcPr>
          <w:p w:rsidR="00605F44" w:rsidRPr="002646EE" w:rsidRDefault="00605F44" w:rsidP="00605F44">
            <w:pPr>
              <w:rPr>
                <w:rFonts w:ascii="Times New Roman" w:eastAsia="ArialMT" w:hAnsi="Times New Roman" w:cs="Times New Roman"/>
                <w:b/>
                <w:bCs/>
                <w:color w:val="000000"/>
                <w:sz w:val="24"/>
                <w:szCs w:val="24"/>
              </w:rPr>
            </w:pPr>
            <w:r w:rsidRPr="002646EE">
              <w:rPr>
                <w:rFonts w:ascii="Times New Roman" w:eastAsia="ArialMT" w:hAnsi="Times New Roman" w:cs="Times New Roman"/>
                <w:b/>
                <w:bCs/>
                <w:color w:val="000000"/>
                <w:sz w:val="24"/>
                <w:szCs w:val="24"/>
              </w:rPr>
              <w:t>Botanical name</w:t>
            </w:r>
          </w:p>
        </w:tc>
        <w:tc>
          <w:tcPr>
            <w:tcW w:w="1843" w:type="dxa"/>
            <w:shd w:val="clear" w:color="auto" w:fill="E2EFD9" w:themeFill="accent6" w:themeFillTint="33"/>
            <w:noWrap/>
            <w:hideMark/>
          </w:tcPr>
          <w:p w:rsidR="00605F44" w:rsidRPr="002646EE" w:rsidRDefault="00605F44" w:rsidP="00605F44">
            <w:pPr>
              <w:rPr>
                <w:rFonts w:ascii="Times New Roman" w:eastAsia="ArialMT" w:hAnsi="Times New Roman" w:cs="Times New Roman"/>
                <w:b/>
                <w:bCs/>
                <w:color w:val="000000"/>
                <w:sz w:val="24"/>
                <w:szCs w:val="24"/>
              </w:rPr>
            </w:pPr>
            <w:r w:rsidRPr="002646EE">
              <w:rPr>
                <w:rFonts w:ascii="Times New Roman" w:eastAsia="ArialMT" w:hAnsi="Times New Roman" w:cs="Times New Roman"/>
                <w:b/>
                <w:bCs/>
                <w:color w:val="000000"/>
                <w:sz w:val="24"/>
                <w:szCs w:val="24"/>
              </w:rPr>
              <w:t>Parts used</w:t>
            </w:r>
          </w:p>
        </w:tc>
        <w:tc>
          <w:tcPr>
            <w:tcW w:w="1559" w:type="dxa"/>
            <w:shd w:val="clear" w:color="auto" w:fill="E2EFD9" w:themeFill="accent6" w:themeFillTint="33"/>
            <w:noWrap/>
            <w:hideMark/>
          </w:tcPr>
          <w:p w:rsidR="00605F44" w:rsidRPr="002646EE" w:rsidRDefault="00605F44" w:rsidP="00605F44">
            <w:pPr>
              <w:rPr>
                <w:rFonts w:ascii="Times New Roman" w:eastAsia="ArialMT" w:hAnsi="Times New Roman" w:cs="Times New Roman"/>
                <w:b/>
                <w:bCs/>
                <w:color w:val="000000"/>
                <w:sz w:val="24"/>
                <w:szCs w:val="24"/>
              </w:rPr>
            </w:pPr>
            <w:r w:rsidRPr="002646EE">
              <w:rPr>
                <w:rFonts w:ascii="Times New Roman" w:eastAsia="ArialMT" w:hAnsi="Times New Roman" w:cs="Times New Roman"/>
                <w:b/>
                <w:bCs/>
                <w:color w:val="000000"/>
                <w:sz w:val="24"/>
                <w:szCs w:val="24"/>
              </w:rPr>
              <w:t>Sanskrit name</w:t>
            </w:r>
          </w:p>
        </w:tc>
        <w:tc>
          <w:tcPr>
            <w:tcW w:w="3686" w:type="dxa"/>
            <w:shd w:val="clear" w:color="auto" w:fill="E2EFD9" w:themeFill="accent6" w:themeFillTint="33"/>
            <w:noWrap/>
            <w:hideMark/>
          </w:tcPr>
          <w:p w:rsidR="00605F44" w:rsidRPr="002646EE" w:rsidRDefault="00605F44" w:rsidP="00605F44">
            <w:pPr>
              <w:rPr>
                <w:rFonts w:ascii="Times New Roman" w:eastAsia="ArialMT" w:hAnsi="Times New Roman" w:cs="Times New Roman"/>
                <w:b/>
                <w:bCs/>
                <w:i/>
                <w:iCs/>
                <w:color w:val="000000"/>
                <w:sz w:val="24"/>
                <w:szCs w:val="24"/>
              </w:rPr>
            </w:pPr>
            <w:r w:rsidRPr="002646EE">
              <w:rPr>
                <w:rFonts w:ascii="Times New Roman" w:eastAsia="ArialMT" w:hAnsi="Times New Roman" w:cs="Times New Roman"/>
                <w:b/>
                <w:bCs/>
                <w:i/>
                <w:iCs/>
                <w:color w:val="000000"/>
                <w:sz w:val="24"/>
                <w:szCs w:val="24"/>
              </w:rPr>
              <w:t>Rasa</w:t>
            </w:r>
          </w:p>
        </w:tc>
        <w:tc>
          <w:tcPr>
            <w:tcW w:w="3402" w:type="dxa"/>
            <w:shd w:val="clear" w:color="auto" w:fill="E2EFD9" w:themeFill="accent6" w:themeFillTint="33"/>
            <w:noWrap/>
            <w:hideMark/>
          </w:tcPr>
          <w:p w:rsidR="00605F44" w:rsidRPr="002646EE" w:rsidRDefault="00605F44" w:rsidP="00605F44">
            <w:pPr>
              <w:rPr>
                <w:rFonts w:ascii="Times New Roman" w:eastAsia="ArialMT" w:hAnsi="Times New Roman" w:cs="Times New Roman"/>
                <w:b/>
                <w:bCs/>
                <w:i/>
                <w:iCs/>
                <w:color w:val="000000"/>
                <w:sz w:val="24"/>
                <w:szCs w:val="24"/>
              </w:rPr>
            </w:pPr>
            <w:r w:rsidRPr="002646EE">
              <w:rPr>
                <w:rFonts w:ascii="Times New Roman" w:eastAsia="ArialMT" w:hAnsi="Times New Roman" w:cs="Times New Roman"/>
                <w:b/>
                <w:bCs/>
                <w:i/>
                <w:iCs/>
                <w:color w:val="000000"/>
                <w:sz w:val="24"/>
                <w:szCs w:val="24"/>
              </w:rPr>
              <w:t>Guna</w:t>
            </w:r>
          </w:p>
        </w:tc>
        <w:tc>
          <w:tcPr>
            <w:tcW w:w="1134" w:type="dxa"/>
            <w:shd w:val="clear" w:color="auto" w:fill="E2EFD9" w:themeFill="accent6" w:themeFillTint="33"/>
            <w:noWrap/>
            <w:hideMark/>
          </w:tcPr>
          <w:p w:rsidR="00605F44" w:rsidRPr="002646EE" w:rsidRDefault="00605F44" w:rsidP="00605F44">
            <w:pPr>
              <w:rPr>
                <w:rFonts w:ascii="Times New Roman" w:eastAsia="ArialMT" w:hAnsi="Times New Roman" w:cs="Times New Roman"/>
                <w:b/>
                <w:bCs/>
                <w:i/>
                <w:iCs/>
                <w:color w:val="000000"/>
                <w:sz w:val="24"/>
                <w:szCs w:val="24"/>
              </w:rPr>
            </w:pPr>
            <w:r w:rsidRPr="002646EE">
              <w:rPr>
                <w:rFonts w:ascii="Times New Roman" w:eastAsia="ArialMT" w:hAnsi="Times New Roman" w:cs="Times New Roman"/>
                <w:b/>
                <w:bCs/>
                <w:i/>
                <w:iCs/>
                <w:color w:val="000000"/>
                <w:sz w:val="24"/>
                <w:szCs w:val="24"/>
              </w:rPr>
              <w:t>Virya</w:t>
            </w:r>
          </w:p>
        </w:tc>
        <w:tc>
          <w:tcPr>
            <w:tcW w:w="1110" w:type="dxa"/>
            <w:shd w:val="clear" w:color="auto" w:fill="E2EFD9" w:themeFill="accent6" w:themeFillTint="33"/>
            <w:noWrap/>
            <w:hideMark/>
          </w:tcPr>
          <w:p w:rsidR="00605F44" w:rsidRPr="002646EE" w:rsidRDefault="00605F44" w:rsidP="00605F44">
            <w:pPr>
              <w:rPr>
                <w:rFonts w:ascii="Times New Roman" w:eastAsia="ArialMT" w:hAnsi="Times New Roman" w:cs="Times New Roman"/>
                <w:b/>
                <w:bCs/>
                <w:i/>
                <w:iCs/>
                <w:color w:val="000000"/>
                <w:sz w:val="24"/>
                <w:szCs w:val="24"/>
              </w:rPr>
            </w:pPr>
            <w:r w:rsidRPr="002646EE">
              <w:rPr>
                <w:rFonts w:ascii="Times New Roman" w:eastAsia="ArialMT" w:hAnsi="Times New Roman" w:cs="Times New Roman"/>
                <w:b/>
                <w:bCs/>
                <w:i/>
                <w:iCs/>
                <w:color w:val="000000"/>
                <w:sz w:val="24"/>
                <w:szCs w:val="24"/>
              </w:rPr>
              <w:t>Vipaka</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Crateva magna</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stem bark</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Varuna</w:t>
            </w:r>
          </w:p>
        </w:tc>
        <w:tc>
          <w:tcPr>
            <w:tcW w:w="3686" w:type="dxa"/>
            <w:noWrap/>
            <w:hideMark/>
          </w:tcPr>
          <w:p w:rsidR="00605F44" w:rsidRPr="002646EE" w:rsidRDefault="0089116E" w:rsidP="00605F44">
            <w:pPr>
              <w:rPr>
                <w:rFonts w:ascii="Times New Roman" w:eastAsia="ArialMT" w:hAnsi="Times New Roman" w:cs="Times New Roman"/>
                <w:i/>
                <w:iCs/>
                <w:color w:val="000000"/>
                <w:sz w:val="24"/>
                <w:szCs w:val="24"/>
              </w:rPr>
            </w:pPr>
            <w:r w:rsidRPr="002646EE">
              <w:rPr>
                <w:rFonts w:ascii="Times New Roman" w:hAnsi="Times New Roman" w:cs="Times New Roman"/>
                <w:i/>
                <w:color w:val="000000"/>
                <w:sz w:val="24"/>
                <w:szCs w:val="24"/>
                <w:shd w:val="clear" w:color="auto" w:fill="FFFFFF"/>
              </w:rPr>
              <w:t>Tikta, madhura, kashay</w:t>
            </w:r>
            <w:r w:rsidRPr="002646EE">
              <w:rPr>
                <w:rFonts w:ascii="Times New Roman" w:eastAsia="ArialMT" w:hAnsi="Times New Roman" w:cs="Times New Roman"/>
                <w:i/>
                <w:iCs/>
                <w:color w:val="000000"/>
                <w:sz w:val="24"/>
                <w:szCs w:val="24"/>
              </w:rPr>
              <w:t>a</w:t>
            </w:r>
          </w:p>
        </w:tc>
        <w:tc>
          <w:tcPr>
            <w:tcW w:w="3402" w:type="dxa"/>
            <w:noWrap/>
            <w:hideMark/>
          </w:tcPr>
          <w:p w:rsidR="00605F44" w:rsidRPr="002646EE" w:rsidRDefault="0089116E" w:rsidP="00605F44">
            <w:pPr>
              <w:rPr>
                <w:rFonts w:ascii="Times New Roman" w:eastAsia="ArialMT" w:hAnsi="Times New Roman" w:cs="Times New Roman"/>
                <w:i/>
                <w:color w:val="000000"/>
                <w:sz w:val="24"/>
                <w:szCs w:val="24"/>
              </w:rPr>
            </w:pPr>
            <w:r w:rsidRPr="002646EE">
              <w:rPr>
                <w:rFonts w:ascii="Times New Roman" w:hAnsi="Times New Roman" w:cs="Times New Roman"/>
                <w:i/>
                <w:color w:val="000000"/>
                <w:sz w:val="24"/>
                <w:szCs w:val="24"/>
                <w:shd w:val="clear" w:color="auto" w:fill="FFFFFF"/>
              </w:rPr>
              <w:t>Laghu, ruksha</w:t>
            </w:r>
          </w:p>
        </w:tc>
        <w:tc>
          <w:tcPr>
            <w:tcW w:w="1134" w:type="dxa"/>
            <w:noWrap/>
            <w:hideMark/>
          </w:tcPr>
          <w:p w:rsidR="00605F44" w:rsidRPr="002646EE" w:rsidRDefault="0089116E"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Ushna</w:t>
            </w:r>
          </w:p>
        </w:tc>
        <w:tc>
          <w:tcPr>
            <w:tcW w:w="1110" w:type="dxa"/>
            <w:noWrap/>
            <w:hideMark/>
          </w:tcPr>
          <w:p w:rsidR="00605F44" w:rsidRPr="002646EE" w:rsidRDefault="0089116E"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Katu</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Barleria strigosa Wild.</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entire plant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Sahachara</w:t>
            </w:r>
          </w:p>
        </w:tc>
        <w:tc>
          <w:tcPr>
            <w:tcW w:w="3686" w:type="dxa"/>
            <w:noWrap/>
            <w:vAlign w:val="bottom"/>
            <w:hideMark/>
          </w:tcPr>
          <w:p w:rsidR="00605F44" w:rsidRPr="002646EE" w:rsidRDefault="00605F44" w:rsidP="00605F44">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Madhura,tikta</w:t>
            </w:r>
          </w:p>
        </w:tc>
        <w:tc>
          <w:tcPr>
            <w:tcW w:w="3402" w:type="dxa"/>
            <w:noWrap/>
            <w:vAlign w:val="bottom"/>
            <w:hideMark/>
          </w:tcPr>
          <w:p w:rsidR="00605F44" w:rsidRPr="002646EE" w:rsidRDefault="00605F44" w:rsidP="00605F44">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Snigdha</w:t>
            </w:r>
          </w:p>
        </w:tc>
        <w:tc>
          <w:tcPr>
            <w:tcW w:w="1134" w:type="dxa"/>
            <w:noWrap/>
            <w:vAlign w:val="bottom"/>
            <w:hideMark/>
          </w:tcPr>
          <w:p w:rsidR="00605F44" w:rsidRPr="002646EE" w:rsidRDefault="00605F44" w:rsidP="00605F44">
            <w:pPr>
              <w:rPr>
                <w:rFonts w:ascii="Times New Roman" w:hAnsi="Times New Roman" w:cs="Times New Roman"/>
                <w:i/>
                <w:sz w:val="24"/>
                <w:szCs w:val="24"/>
              </w:rPr>
            </w:pPr>
            <w:r w:rsidRPr="002646EE">
              <w:rPr>
                <w:rFonts w:ascii="Times New Roman" w:hAnsi="Times New Roman" w:cs="Times New Roman"/>
                <w:i/>
                <w:sz w:val="24"/>
                <w:szCs w:val="24"/>
              </w:rPr>
              <w:t>Ushna</w:t>
            </w:r>
          </w:p>
        </w:tc>
        <w:tc>
          <w:tcPr>
            <w:tcW w:w="1110" w:type="dxa"/>
            <w:noWrap/>
            <w:vAlign w:val="bottom"/>
            <w:hideMark/>
          </w:tcPr>
          <w:p w:rsidR="00605F44" w:rsidRPr="002646EE" w:rsidRDefault="00605F44" w:rsidP="00605F44">
            <w:pPr>
              <w:rPr>
                <w:rFonts w:ascii="Times New Roman" w:hAnsi="Times New Roman" w:cs="Times New Roman"/>
                <w:i/>
                <w:sz w:val="24"/>
                <w:szCs w:val="24"/>
              </w:rPr>
            </w:pPr>
            <w:r w:rsidRPr="002646EE">
              <w:rPr>
                <w:rFonts w:ascii="Times New Roman" w:hAnsi="Times New Roman" w:cs="Times New Roman"/>
                <w:i/>
                <w:sz w:val="24"/>
                <w:szCs w:val="24"/>
              </w:rPr>
              <w:t>Katu</w:t>
            </w:r>
          </w:p>
        </w:tc>
      </w:tr>
      <w:tr w:rsidR="00605F44" w:rsidRPr="002646EE" w:rsidTr="00C2168A">
        <w:trPr>
          <w:trHeight w:val="240"/>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Asparagus racemosus Wild.</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tuberous root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Shatavari</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Madhura,tikta</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Guru,snigdha</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sheetha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w:t>
            </w:r>
          </w:p>
        </w:tc>
      </w:tr>
      <w:tr w:rsidR="00605F44" w:rsidRPr="002646EE" w:rsidTr="00C2168A">
        <w:trPr>
          <w:trHeight w:val="420"/>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Plumbago zeylanica L.</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root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Chitraka</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laghu,tiksna,ruksa</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Ushna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Marsdenia tenacissima</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stem and root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Murva</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Madhura,tikta</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Guru,sara</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Ushna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Aegle marmelos (L.) Corrêa</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root/ root bark</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Bilwa</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Laghu</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sheetha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Aristolochia bracteolata Lam</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root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Kitamari</w:t>
            </w:r>
          </w:p>
        </w:tc>
        <w:tc>
          <w:tcPr>
            <w:tcW w:w="3686" w:type="dxa"/>
            <w:noWrap/>
            <w:hideMark/>
          </w:tcPr>
          <w:p w:rsidR="00605F44" w:rsidRPr="002646EE" w:rsidRDefault="0089116E"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Tikta</w:t>
            </w:r>
          </w:p>
        </w:tc>
        <w:tc>
          <w:tcPr>
            <w:tcW w:w="3402" w:type="dxa"/>
            <w:noWrap/>
            <w:hideMark/>
          </w:tcPr>
          <w:p w:rsidR="00605F44" w:rsidRPr="002646EE" w:rsidRDefault="0089116E"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Laghu. Tiksna, Ruksha</w:t>
            </w:r>
          </w:p>
        </w:tc>
        <w:tc>
          <w:tcPr>
            <w:tcW w:w="1134" w:type="dxa"/>
            <w:noWrap/>
            <w:hideMark/>
          </w:tcPr>
          <w:p w:rsidR="00605F44" w:rsidRPr="002646EE" w:rsidRDefault="0089116E"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Ushna</w:t>
            </w:r>
          </w:p>
        </w:tc>
        <w:tc>
          <w:tcPr>
            <w:tcW w:w="1110" w:type="dxa"/>
            <w:noWrap/>
            <w:hideMark/>
          </w:tcPr>
          <w:p w:rsidR="00605F44" w:rsidRPr="002646EE" w:rsidRDefault="0089116E"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Katu</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Solanum indicum L.</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root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Brihati</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Katu,Tiktha</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Laghu</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Ushna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Aerva lanata (L.) Juss. ex Schult.</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entire plant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Bhadra</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Tiktha,Kashaya</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laghu,tiksna</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Ushna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Pongamia pinnata (L.) Pierre</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seeds/stem bark</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Karanja</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Katu,tikta</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Tiksna</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Ushna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w:t>
            </w:r>
          </w:p>
        </w:tc>
      </w:tr>
      <w:tr w:rsidR="00E650EB" w:rsidRPr="002646EE" w:rsidTr="00C2168A">
        <w:trPr>
          <w:trHeight w:val="312"/>
        </w:trPr>
        <w:tc>
          <w:tcPr>
            <w:tcW w:w="2977" w:type="dxa"/>
            <w:noWrap/>
            <w:hideMark/>
          </w:tcPr>
          <w:p w:rsidR="00E650EB" w:rsidRPr="002646EE" w:rsidRDefault="00E650EB" w:rsidP="00E650EB">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Holoptelia integrifolia(Roxb.) Planch</w:t>
            </w:r>
          </w:p>
        </w:tc>
        <w:tc>
          <w:tcPr>
            <w:tcW w:w="1843" w:type="dxa"/>
            <w:noWrap/>
            <w:hideMark/>
          </w:tcPr>
          <w:p w:rsidR="00E650EB" w:rsidRPr="002646EE" w:rsidRDefault="00E650EB" w:rsidP="00E650EB">
            <w:pPr>
              <w:rPr>
                <w:rStyle w:val="NormalWebChar"/>
                <w:rFonts w:eastAsia="ArialMT"/>
              </w:rPr>
            </w:pPr>
            <w:r w:rsidRPr="002646EE">
              <w:rPr>
                <w:rStyle w:val="NormalWebChar"/>
                <w:rFonts w:eastAsia="ArialMT"/>
              </w:rPr>
              <w:t>Bark</w:t>
            </w:r>
          </w:p>
        </w:tc>
        <w:tc>
          <w:tcPr>
            <w:tcW w:w="1559" w:type="dxa"/>
            <w:noWrap/>
            <w:hideMark/>
          </w:tcPr>
          <w:p w:rsidR="00E650EB" w:rsidRPr="002646EE" w:rsidRDefault="00E650EB" w:rsidP="00E650EB">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chiribilwa</w:t>
            </w:r>
          </w:p>
        </w:tc>
        <w:tc>
          <w:tcPr>
            <w:tcW w:w="3686" w:type="dxa"/>
            <w:noWrap/>
            <w:hideMark/>
          </w:tcPr>
          <w:p w:rsidR="00E650EB" w:rsidRPr="002646EE" w:rsidRDefault="00E650EB" w:rsidP="00E650EB">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Tikta,Kashaya</w:t>
            </w:r>
          </w:p>
        </w:tc>
        <w:tc>
          <w:tcPr>
            <w:tcW w:w="3402" w:type="dxa"/>
            <w:noWrap/>
            <w:hideMark/>
          </w:tcPr>
          <w:p w:rsidR="00E650EB" w:rsidRPr="002646EE" w:rsidRDefault="00E650EB" w:rsidP="00E650EB">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Laghu, Ruksha</w:t>
            </w:r>
          </w:p>
        </w:tc>
        <w:tc>
          <w:tcPr>
            <w:tcW w:w="1134" w:type="dxa"/>
            <w:noWrap/>
            <w:hideMark/>
          </w:tcPr>
          <w:p w:rsidR="00E650EB" w:rsidRPr="002646EE" w:rsidRDefault="00E650EB" w:rsidP="00E650EB">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Ushna</w:t>
            </w:r>
          </w:p>
        </w:tc>
        <w:tc>
          <w:tcPr>
            <w:tcW w:w="1110" w:type="dxa"/>
            <w:noWrap/>
            <w:hideMark/>
          </w:tcPr>
          <w:p w:rsidR="00E650EB" w:rsidRPr="002646EE" w:rsidRDefault="00E650EB" w:rsidP="00E650EB">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Katu</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Premna corymbosa (Burm.f.) Rottl. &amp;amp; Willd.</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Root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Agnimantha</w:t>
            </w:r>
          </w:p>
        </w:tc>
        <w:tc>
          <w:tcPr>
            <w:tcW w:w="3686" w:type="dxa"/>
            <w:noWrap/>
            <w:hideMark/>
          </w:tcPr>
          <w:p w:rsidR="00605F44" w:rsidRPr="002646EE" w:rsidRDefault="00E650EB"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Tikta, Katu,Kashaya, madhura</w:t>
            </w:r>
          </w:p>
        </w:tc>
        <w:tc>
          <w:tcPr>
            <w:tcW w:w="3402" w:type="dxa"/>
            <w:noWrap/>
            <w:hideMark/>
          </w:tcPr>
          <w:p w:rsidR="00605F44" w:rsidRPr="002646EE" w:rsidRDefault="00E650EB"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Laghu, Ruksha</w:t>
            </w:r>
          </w:p>
        </w:tc>
        <w:tc>
          <w:tcPr>
            <w:tcW w:w="1134" w:type="dxa"/>
            <w:noWrap/>
            <w:hideMark/>
          </w:tcPr>
          <w:p w:rsidR="00605F44" w:rsidRPr="002646EE" w:rsidRDefault="00E650EB"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Ushna</w:t>
            </w:r>
          </w:p>
        </w:tc>
        <w:tc>
          <w:tcPr>
            <w:tcW w:w="1110" w:type="dxa"/>
            <w:noWrap/>
            <w:hideMark/>
          </w:tcPr>
          <w:p w:rsidR="00605F44" w:rsidRPr="002646EE" w:rsidRDefault="00E650EB" w:rsidP="00605F44">
            <w:pPr>
              <w:rPr>
                <w:rFonts w:ascii="Times New Roman" w:eastAsia="ArialMT" w:hAnsi="Times New Roman" w:cs="Times New Roman"/>
                <w:i/>
                <w:color w:val="000000"/>
                <w:sz w:val="24"/>
                <w:szCs w:val="24"/>
              </w:rPr>
            </w:pPr>
            <w:r w:rsidRPr="002646EE">
              <w:rPr>
                <w:rFonts w:ascii="Times New Roman" w:eastAsia="ArialMT" w:hAnsi="Times New Roman" w:cs="Times New Roman"/>
                <w:i/>
                <w:color w:val="000000"/>
                <w:sz w:val="24"/>
                <w:szCs w:val="24"/>
              </w:rPr>
              <w:t>Katu</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Terminalia chebula Retz.</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Fruit</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Haritaki</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Madhura,amla,katu,tikta,kashaya</w:t>
            </w:r>
          </w:p>
        </w:tc>
        <w:tc>
          <w:tcPr>
            <w:tcW w:w="3402"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Laghu,ruksha</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Ushna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w:t>
            </w:r>
          </w:p>
        </w:tc>
      </w:tr>
      <w:tr w:rsidR="00605F44" w:rsidRPr="002646EE" w:rsidTr="00C2168A">
        <w:trPr>
          <w:trHeight w:val="312"/>
        </w:trPr>
        <w:tc>
          <w:tcPr>
            <w:tcW w:w="2977"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Moringa olifera Lam.</w:t>
            </w:r>
          </w:p>
        </w:tc>
        <w:tc>
          <w:tcPr>
            <w:tcW w:w="1843" w:type="dxa"/>
            <w:noWrap/>
            <w:hideMark/>
          </w:tcPr>
          <w:p w:rsidR="00605F44" w:rsidRPr="002646EE" w:rsidRDefault="00605F44" w:rsidP="00605F44">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stem bark</w:t>
            </w:r>
          </w:p>
        </w:tc>
        <w:tc>
          <w:tcPr>
            <w:tcW w:w="1559"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Shigru</w:t>
            </w:r>
          </w:p>
        </w:tc>
        <w:tc>
          <w:tcPr>
            <w:tcW w:w="3686"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Madhura,katu,tikta</w:t>
            </w:r>
          </w:p>
        </w:tc>
        <w:tc>
          <w:tcPr>
            <w:tcW w:w="3402" w:type="dxa"/>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Laghu,Picchila,Ruksa,sara,tiksna</w:t>
            </w:r>
          </w:p>
        </w:tc>
        <w:tc>
          <w:tcPr>
            <w:tcW w:w="1134"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Ushna</w:t>
            </w:r>
          </w:p>
        </w:tc>
        <w:tc>
          <w:tcPr>
            <w:tcW w:w="1110" w:type="dxa"/>
            <w:noWrap/>
            <w:hideMark/>
          </w:tcPr>
          <w:p w:rsidR="00605F44" w:rsidRPr="002646EE" w:rsidRDefault="00605F44" w:rsidP="00605F44">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Katu</w:t>
            </w:r>
          </w:p>
        </w:tc>
      </w:tr>
      <w:tr w:rsidR="00E1701B" w:rsidRPr="002646EE" w:rsidTr="00C2168A">
        <w:trPr>
          <w:trHeight w:val="312"/>
        </w:trPr>
        <w:tc>
          <w:tcPr>
            <w:tcW w:w="2977" w:type="dxa"/>
            <w:noWrap/>
            <w:hideMark/>
          </w:tcPr>
          <w:p w:rsidR="00E1701B" w:rsidRPr="002646EE" w:rsidRDefault="00E1701B" w:rsidP="00E1701B">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 xml:space="preserve">Desmostachya bipinnata (L.) Stapf </w:t>
            </w:r>
          </w:p>
        </w:tc>
        <w:tc>
          <w:tcPr>
            <w:tcW w:w="1843" w:type="dxa"/>
            <w:noWrap/>
            <w:hideMark/>
          </w:tcPr>
          <w:p w:rsidR="00E1701B" w:rsidRPr="002646EE" w:rsidRDefault="00E1701B" w:rsidP="00E1701B">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entire plant</w:t>
            </w:r>
          </w:p>
        </w:tc>
        <w:tc>
          <w:tcPr>
            <w:tcW w:w="1559" w:type="dxa"/>
            <w:noWrap/>
            <w:hideMark/>
          </w:tcPr>
          <w:p w:rsidR="00E1701B" w:rsidRPr="002646EE" w:rsidRDefault="00E1701B" w:rsidP="00E1701B">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Darbha</w:t>
            </w:r>
          </w:p>
        </w:tc>
        <w:tc>
          <w:tcPr>
            <w:tcW w:w="3686"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Madhura,Kashaya</w:t>
            </w:r>
          </w:p>
        </w:tc>
        <w:tc>
          <w:tcPr>
            <w:tcW w:w="3402"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Laghu</w:t>
            </w:r>
          </w:p>
        </w:tc>
        <w:tc>
          <w:tcPr>
            <w:tcW w:w="1134"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Sheetha</w:t>
            </w:r>
          </w:p>
        </w:tc>
        <w:tc>
          <w:tcPr>
            <w:tcW w:w="1110"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Madhura</w:t>
            </w:r>
          </w:p>
        </w:tc>
      </w:tr>
      <w:tr w:rsidR="00E1701B" w:rsidRPr="002646EE" w:rsidTr="00C2168A">
        <w:trPr>
          <w:trHeight w:val="312"/>
        </w:trPr>
        <w:tc>
          <w:tcPr>
            <w:tcW w:w="2977" w:type="dxa"/>
            <w:noWrap/>
            <w:hideMark/>
          </w:tcPr>
          <w:p w:rsidR="00E1701B" w:rsidRPr="002646EE" w:rsidRDefault="00E1701B" w:rsidP="00E1701B">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Semicarpus anacardium L</w:t>
            </w:r>
          </w:p>
        </w:tc>
        <w:tc>
          <w:tcPr>
            <w:tcW w:w="1843" w:type="dxa"/>
            <w:noWrap/>
            <w:hideMark/>
          </w:tcPr>
          <w:p w:rsidR="00E1701B" w:rsidRPr="002646EE" w:rsidRDefault="00E1701B" w:rsidP="00E1701B">
            <w:pPr>
              <w:rPr>
                <w:rFonts w:ascii="Times New Roman" w:eastAsia="ArialMT" w:hAnsi="Times New Roman" w:cs="Times New Roman"/>
                <w:color w:val="000000"/>
                <w:sz w:val="24"/>
                <w:szCs w:val="24"/>
              </w:rPr>
            </w:pPr>
            <w:r w:rsidRPr="002646EE">
              <w:rPr>
                <w:rFonts w:ascii="Times New Roman" w:eastAsia="ArialMT" w:hAnsi="Times New Roman" w:cs="Times New Roman"/>
                <w:color w:val="000000"/>
                <w:sz w:val="24"/>
                <w:szCs w:val="24"/>
              </w:rPr>
              <w:t>Seed</w:t>
            </w:r>
          </w:p>
        </w:tc>
        <w:tc>
          <w:tcPr>
            <w:tcW w:w="1559" w:type="dxa"/>
            <w:noWrap/>
            <w:hideMark/>
          </w:tcPr>
          <w:p w:rsidR="00E1701B" w:rsidRPr="002646EE" w:rsidRDefault="00E1701B" w:rsidP="00E1701B">
            <w:pPr>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Bhallataka</w:t>
            </w:r>
          </w:p>
        </w:tc>
        <w:tc>
          <w:tcPr>
            <w:tcW w:w="3686"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Madhura,katu,tiktha,kashaya</w:t>
            </w:r>
          </w:p>
        </w:tc>
        <w:tc>
          <w:tcPr>
            <w:tcW w:w="3402"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Laghu,thikshna,snigdha</w:t>
            </w:r>
          </w:p>
        </w:tc>
        <w:tc>
          <w:tcPr>
            <w:tcW w:w="1134"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Ushna</w:t>
            </w:r>
          </w:p>
        </w:tc>
        <w:tc>
          <w:tcPr>
            <w:tcW w:w="1110" w:type="dxa"/>
            <w:noWrap/>
            <w:vAlign w:val="bottom"/>
            <w:hideMark/>
          </w:tcPr>
          <w:p w:rsidR="00E1701B" w:rsidRPr="002646EE" w:rsidRDefault="00E1701B" w:rsidP="00E1701B">
            <w:pPr>
              <w:rPr>
                <w:rFonts w:ascii="Times New Roman" w:hAnsi="Times New Roman" w:cs="Times New Roman"/>
                <w:i/>
                <w:iCs/>
                <w:color w:val="000000"/>
                <w:sz w:val="24"/>
                <w:szCs w:val="24"/>
              </w:rPr>
            </w:pPr>
            <w:r w:rsidRPr="002646EE">
              <w:rPr>
                <w:rFonts w:ascii="Times New Roman" w:hAnsi="Times New Roman" w:cs="Times New Roman"/>
                <w:i/>
                <w:iCs/>
                <w:color w:val="000000"/>
                <w:sz w:val="24"/>
                <w:szCs w:val="24"/>
              </w:rPr>
              <w:t>Madhura</w:t>
            </w:r>
          </w:p>
        </w:tc>
      </w:tr>
    </w:tbl>
    <w:p w:rsidR="00605F44" w:rsidRPr="002646EE" w:rsidRDefault="00605F44" w:rsidP="00BC7E9C">
      <w:pPr>
        <w:rPr>
          <w:rFonts w:ascii="Times New Roman" w:eastAsia="ArialMT" w:hAnsi="Times New Roman" w:cs="Times New Roman"/>
          <w:color w:val="000000"/>
          <w:sz w:val="24"/>
          <w:szCs w:val="24"/>
        </w:rPr>
        <w:sectPr w:rsidR="00605F44" w:rsidRPr="002646EE" w:rsidSect="00BC7E9C">
          <w:pgSz w:w="16838" w:h="11906" w:orient="landscape"/>
          <w:pgMar w:top="1440" w:right="1440" w:bottom="1440" w:left="1440" w:header="708" w:footer="708" w:gutter="0"/>
          <w:cols w:space="708"/>
          <w:docGrid w:linePitch="360"/>
        </w:sectPr>
      </w:pPr>
    </w:p>
    <w:p w:rsidR="00CB2BBE" w:rsidRPr="002646EE" w:rsidRDefault="00CB2BBE" w:rsidP="002D6B34">
      <w:pPr>
        <w:pStyle w:val="Heading2"/>
      </w:pPr>
      <w:bookmarkStart w:id="13" w:name="_Toc171420542"/>
      <w:r w:rsidRPr="002646EE">
        <w:lastRenderedPageBreak/>
        <w:t>Anti-diabetic activity of each ingredient of VA</w:t>
      </w:r>
      <w:bookmarkEnd w:id="13"/>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Fonts w:ascii="Times New Roman" w:hAnsi="Times New Roman" w:cs="Times New Roman"/>
          <w:b/>
          <w:i/>
          <w:iCs/>
          <w:color w:val="000000"/>
          <w:sz w:val="24"/>
          <w:szCs w:val="24"/>
        </w:rPr>
        <w:t>Varuna (Crateva magna</w:t>
      </w:r>
      <w:r w:rsidRPr="002646EE">
        <w:rPr>
          <w:rFonts w:ascii="Times New Roman" w:eastAsia="ArialMT" w:hAnsi="Times New Roman" w:cs="Times New Roman"/>
          <w:b/>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The acetone and methanol extracts of Crateva magna bark exhibit potent α-glucosidase and α-amylase inhibitory activities, suggesting their potential to reduce postprandial blood glucose levels and manage diabetes. Additionally, both alcoholic and aqueous extracts of the stem bark demonstrate significant antioxidant activity</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{"citationID":"TYpRR8Um","properties":{"formattedCitation":"(Loganayaki &amp; Manian, 2012)","plainCitation":"(Loganayaki &amp; Manian, 2012)","noteIndex":0},"citationItems":[{"id":288,"uris":["http://zotero.org/users/local/Eg2UsBJR/items/3J54UHBV"],"itemData":{"id":288,"type":"article-journal","container-title":"Journal of Bioscience and Bioengineering","DOI":"10.1016/j.jbiosc.2011.10.020","ISSN":"13891723","issue":"3","journalAbbreviation":"Journal of Bioscience and Bioengineering","language":"en","license":"https://www.elsevier.com/tdm/userlicense/1.0/","page":"378-380","source":"DOI.org (Crossref)","title":"Evaluation of Indian sacred tree Crataeva magna (Lour.) DC. for antioxidant activity and inhibition of key enzymes relevant to hyperglycemia","volume":"113","author":[{"family":"Loganayaki","given":"Nataraj"},{"family":"Manian","given":"Sellamuthu"}],"issued":{"date-parts":[["2012",3]]}}}],"schema":"https://github.com/citation-style-language/schema/raw/master/csl-citation.json"}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(Loganayaki &amp; Manian, 2012)</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Fonts w:ascii="Times New Roman" w:hAnsi="Times New Roman" w:cs="Times New Roman"/>
          <w:b/>
          <w:i/>
          <w:iCs/>
          <w:color w:val="000000"/>
          <w:sz w:val="24"/>
          <w:szCs w:val="24"/>
        </w:rPr>
        <w:t>Sahachara (Barleria strigosa Wild.</w:t>
      </w:r>
      <w:r w:rsidRPr="002646EE">
        <w:rPr>
          <w:rFonts w:ascii="Times New Roman" w:eastAsia="ArialMT" w:hAnsi="Times New Roman" w:cs="Times New Roman"/>
          <w:b/>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Fonts w:ascii="Times New Roman" w:hAnsi="Times New Roman" w:cs="Times New Roman"/>
          <w:i/>
          <w:iCs/>
          <w:color w:val="000000"/>
          <w:sz w:val="24"/>
          <w:szCs w:val="24"/>
        </w:rPr>
        <w:t>Barleria strigosa</w:t>
      </w:r>
      <w:r w:rsidRPr="002646EE">
        <w:rPr>
          <w:rStyle w:val="NormalWebChar"/>
          <w:rFonts w:eastAsiaTheme="minorHAnsi"/>
        </w:rPr>
        <w:t xml:space="preserve"> demonstrated inhibitory effects against the α-glucosidase enzyme, exhibiting greater efficacy than the standard drug acarbose. Additionally, the antioxidant properties of </w:t>
      </w:r>
      <w:r w:rsidRPr="002646EE">
        <w:rPr>
          <w:rFonts w:ascii="Times New Roman" w:hAnsi="Times New Roman" w:cs="Times New Roman"/>
          <w:i/>
          <w:iCs/>
          <w:color w:val="000000"/>
          <w:sz w:val="24"/>
          <w:szCs w:val="24"/>
        </w:rPr>
        <w:t xml:space="preserve">Barleria strigosa </w:t>
      </w:r>
      <w:r w:rsidRPr="002646EE">
        <w:rPr>
          <w:rStyle w:val="NormalWebChar"/>
          <w:rFonts w:eastAsiaTheme="minorHAnsi"/>
        </w:rPr>
        <w:t xml:space="preserve"> extract indicate its potential in combating oxidative damage</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{"citationID":"mTFQBac9","properties":{"formattedCitation":"(Lei et al., 2023)","plainCitation":"(Lei et al., 2023)","noteIndex":0},"citationItems":[{"id":293,"uris":["http://zotero.org/users/local/Eg2UsBJR/items/79EEJVW6"],"itemData":{"id":293,"type":"article-journal","abstract":"Abstract\n            \n              Background\n              \n                This study investigated the in vitro antidiabetic, antioxidant, antibacterial, anti-inflammatory and antiproliferative effects of\n                B. strigosa\n                hydrophilic (BSTR) and lipophilic (LSB) leaves extracts. The phytochemical profile was also performed using UHPLC–ESI–QTOF–MS.\n              \n            \n            \n              Results\n              \n                The results indicated that BSTR and LSB showed excellent antioxidant properties in the DPPH scavenging, ABTS scavenging, FRAP and MCA assays. The extracts also demonstrated α-glucosidase (81.56–157.56 µg/mL) and α-amylase (204.44 µg/mL) inhibitory activities. In addition, the extracts showed significant cytotoxic and antiproliferative effects against oral squamous carcinoma (CLS-354/WT) cancer cells. Furthermore, the extracts showed excellent antibacterial activity against\n                Listeria monocytogenes\n                ,\n                Vibrio parahaemolyticus\n                ,\n                Escherichia coli\n                ,\n                Pseudomonas aeruginosa\n                and\n                Staphylococcus aureus\n                . Both extracts exhibited a significant reduction in nitric oxide secretion against activated macrophage cells. The UHPLC–MS analysis revealed that\n                B. strigosa\n                is rich in terpenoids, iridoid glycosides, flavonoids, and phenolic compounds. The plethora of these compounds may be responsible for the observed activities. In addition, the bioactive compounds identified by UHPLC–ESI–QTOF–MS were analyzed using silico molecular docking studies to determine the binding affinity with α-amylase and α-glucosidase.\n              \n            \n            \n              Conclusions\n              \n                These results suggest that\n                B. strigosa\n                is an excellent pharmacological active plant and it provides the basis for further studies on the exploration of its potentials in oxidative stress induced disorders.\n              \n            \n            \n              Graphical Abstract","container-title":"Chemical and Biological Technologies in Agriculture","DOI":"10.1186/s40538-023-00451-2","ISSN":"2196-5641","issue":"1","journalAbbreviation":"Chem. Biol. Technol. Agric.","language":"en","page":"73","source":"DOI.org (Crossref)","title":"UPLC–ESI–QTOF–MS profiling, antioxidant, antidiabetic, antibacterial, anti-inflammatory, antiproliferative activities and in silico molecular docking analysis of Barleria strigosa","volume":"10","author":[{"family":"Lei","given":"Ming"},{"family":"Wang","given":"Lei"},{"family":"Olatunde","given":"Oladipupo Odunayo"},{"family":"Singh","given":"Sudarshan"},{"family":"Ovatlarnporn","given":"Chitchamai"},{"family":"Basit","given":"Abdul"},{"family":"Olatunji","given":"Opeyemi Joshua"}],"issued":{"date-parts":[["2023",8,7]]}}}],"schema":"https://github.com/citation-style-language/schema/raw/master/csl-citation.json"}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(Lei et al., 2023)</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p>
    <w:p w:rsidR="00CB2BBE" w:rsidRPr="002646EE" w:rsidRDefault="00CB2BBE" w:rsidP="00CB2BBE">
      <w:pPr>
        <w:spacing w:after="0" w:line="360" w:lineRule="auto"/>
        <w:jc w:val="both"/>
        <w:rPr>
          <w:rFonts w:ascii="Times New Roman" w:hAnsi="Times New Roman" w:cs="Times New Roman"/>
          <w:b/>
          <w:bCs/>
          <w:i/>
          <w:iCs/>
          <w:color w:val="000000"/>
          <w:sz w:val="24"/>
          <w:szCs w:val="24"/>
        </w:rPr>
      </w:pPr>
      <w:r w:rsidRPr="002646EE">
        <w:rPr>
          <w:rFonts w:ascii="Times New Roman" w:hAnsi="Times New Roman" w:cs="Times New Roman"/>
          <w:b/>
          <w:bCs/>
          <w:i/>
          <w:iCs/>
          <w:color w:val="000000"/>
          <w:sz w:val="24"/>
          <w:szCs w:val="24"/>
        </w:rPr>
        <w:t>Shatavari (Asparagus racemosus Wild)</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Style w:val="NormalWebChar"/>
          <w:rFonts w:eastAsiaTheme="minorHAnsi"/>
        </w:rPr>
        <w:t>Asparagus racemosus roots have demonstrated the ability to enhance insulin secretion in perfused pancreas and isolated islets. This enhancement has led to reduced blood glucose levels in rats and rabbits. The constituents found in root extracts exert a broad range of stimulatory effects on physiological insulinotropic pathways. It significantly inhibits glucose absorption during gut perfusion and suppresses postprandial hyperglycemia after sucrose ingestion. It impacts on intestinal disaccharidase enzyme activity suggests that its ability to retard carbohydrate absorption is partially due to the inhibition of gut enzyme activity</w:t>
      </w:r>
      <w:r w:rsidRPr="002646EE">
        <w:rPr>
          <w:rStyle w:val="NormalWebChar"/>
          <w:rFonts w:eastAsiaTheme="minorHAnsi"/>
        </w:rPr>
        <w:fldChar w:fldCharType="begin"/>
      </w:r>
      <w:r w:rsidRPr="002646EE">
        <w:rPr>
          <w:rStyle w:val="NormalWebChar"/>
          <w:rFonts w:eastAsiaTheme="minorHAnsi"/>
        </w:rPr>
        <w:instrText xml:space="preserve"> ADDIN ZOTERO_ITEM CSL_CITATION {"citationID":"556Ibj5H","properties":{"formattedCitation":"(Hannan et al., 2012)","plainCitation":"(Hannan et al., 2012)","noteIndex":0},"citationItems":[{"id":295,"uris":["http://zotero.org/users/local/Eg2UsBJR/items/H24QDJBG"],"itemData":{"id":295,"type":"article-journal","abstract":"Asparagus racemosus\n              roots have been shown to enhance insulin secretion in perfused pancreas and isolated islets. The present study investigated the effects of ethanol extracts of\n              A. racemosus\n              roots on glucose homeostasis in diabetic rats, together with the effects on insulin action in 3T3 adipocytes. When administered orally together with glucose,\n              A. racemosus\n              extract improved glucose tolerance in normal as well as in two types of diabetic rats. To investigate the possible effects on carbohydrate absorption, the sucrose content of the gastrointestinal tract was examined in 12 h fasted rats after an oral sucrose load (2·5 g/kg body weight). The extract significantly suppressed postprandial hyperglycaemia after sucrose ingestion and reversibly increased unabsorbed sucrose content throughout the gut. The extract also significantly inhibited the absorption of glucose during\n              in situ\n              gut perfusion with glucose. Furthermore, the extract enhanced glucose transport and insulin action in 3T3-L1 adipocytes. Daily administration of\n              A. racemosus\n              to type 2 diabetic rats for 28 d decreased serum glucose, increased pancreatic insulin, plasma insulin, liver glycogen and total oxidant status. These findings indicate that antihyperglycaemic activity of\n              A. racemosus\n              is partly mediated by inhibition of carbohydrate digestion and absorption, together with enhancement of insulin secretion and action in the peripheral tissue.\n              Asparagus racemosus\n              may be useful as a source of novel antidiabetic compounds or a dietary adjunct for the management of diabetes.","container-title":"British Journal of Nutrition","DOI":"10.1017/S0007114511004284","ISSN":"0007-1145, 1475-2662","issue":"9","journalAbbreviation":"Br J Nutr","language":"en","license":"https://www.cambridge.org/core/terms","page":"1316-1323","source":"DOI.org (Crossref)","title":"Antihyperglycaemic activity of &lt;i&gt;Asparagus racemosus&lt;/i&gt; roots is partly mediated by inhibition of carbohydrate digestion and absorption, and enhancement of cellular insulin action","volume":"107","author":[{"family":"Hannan","given":"J. M. A."},{"family":"Ali","given":"Liaquat"},{"family":"Khaleque","given":"Junaida"},{"family":"Akhter","given":"Masfida"},{"family":"Flatt","given":"Peter R."},{"family":"Abdel-Wahab","given":"Yasser H. A."}],"issued":{"date-parts":[["2012",5,14]]}}}],"schema":"https://github.com/citation-style-language/schema/raw/master/csl-citation.json"} </w:instrText>
      </w:r>
      <w:r w:rsidRPr="002646EE">
        <w:rPr>
          <w:rStyle w:val="NormalWebChar"/>
          <w:rFonts w:eastAsiaTheme="minorHAnsi"/>
        </w:rPr>
        <w:fldChar w:fldCharType="separate"/>
      </w:r>
      <w:r w:rsidRPr="002646EE">
        <w:rPr>
          <w:rFonts w:ascii="Times New Roman" w:hAnsi="Times New Roman" w:cs="Times New Roman"/>
          <w:sz w:val="24"/>
          <w:szCs w:val="24"/>
        </w:rPr>
        <w:t>(Hannan et al., 2012)</w:t>
      </w:r>
      <w:r w:rsidRPr="002646EE">
        <w:rPr>
          <w:rStyle w:val="NormalWebChar"/>
          <w:rFonts w:eastAsiaTheme="minorHAnsi"/>
        </w:rPr>
        <w:fldChar w:fldCharType="end"/>
      </w:r>
      <w:r w:rsidRPr="002646EE">
        <w:rPr>
          <w:rFonts w:ascii="Times New Roman" w:hAnsi="Times New Roman" w:cs="Times New Roman"/>
          <w:sz w:val="24"/>
          <w:szCs w:val="24"/>
        </w:rPr>
        <w:t xml:space="preserve"> .</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u w:val="single"/>
        </w:rPr>
      </w:pPr>
      <w:r w:rsidRPr="002646EE">
        <w:rPr>
          <w:rFonts w:ascii="Times New Roman" w:hAnsi="Times New Roman" w:cs="Times New Roman"/>
          <w:b/>
          <w:i/>
          <w:iCs/>
          <w:color w:val="000000"/>
          <w:sz w:val="24"/>
          <w:szCs w:val="24"/>
        </w:rPr>
        <w:t>Chitraka (Plumbago zeylanica L.)</w:t>
      </w:r>
    </w:p>
    <w:p w:rsidR="00CB2BBE" w:rsidRPr="002646EE" w:rsidRDefault="00CB2BBE" w:rsidP="00CB2BBE">
      <w:pPr>
        <w:autoSpaceDE w:val="0"/>
        <w:autoSpaceDN w:val="0"/>
        <w:adjustRightInd w:val="0"/>
        <w:spacing w:after="0" w:line="360" w:lineRule="auto"/>
        <w:jc w:val="both"/>
        <w:rPr>
          <w:rStyle w:val="NormalWebChar"/>
          <w:rFonts w:eastAsiaTheme="minorHAnsi"/>
        </w:rPr>
      </w:pPr>
      <w:r w:rsidRPr="002646EE">
        <w:rPr>
          <w:rStyle w:val="NormalWebChar"/>
          <w:rFonts w:eastAsiaTheme="minorHAnsi"/>
        </w:rPr>
        <w:t>Plumbago zeylanica L. effectively inhibits the alpha-amylase enzyme in vitro in a dose-dependent manner, leading to a reduction in glucose absorption in the gastrointestinal tract</w:t>
      </w:r>
      <w:r w:rsidRPr="002646EE">
        <w:rPr>
          <w:rStyle w:val="NormalWebChar"/>
          <w:rFonts w:eastAsiaTheme="minorHAnsi"/>
        </w:rPr>
        <w:fldChar w:fldCharType="begin"/>
      </w:r>
      <w:r w:rsidRPr="002646EE">
        <w:rPr>
          <w:rStyle w:val="NormalWebChar"/>
          <w:rFonts w:eastAsiaTheme="minorHAnsi"/>
        </w:rPr>
        <w:instrText xml:space="preserve"> ADDIN ZOTERO_ITEM CSL_CITATION {"citationID":"JLTROgs8","properties":{"formattedCitation":"(Praveen Kumar Soni &amp; Ashish Agrawal, 2022)","plainCitation":"(Praveen Kumar Soni &amp; Ashish Agrawal, 2022)","noteIndex":0},"citationItems":[{"id":297,"uris":["http://zotero.org/users/local/Eg2UsBJR/items/UIG5ULTL"],"itemData":{"id":297,"type":"article-journal","ISSN":"ISSN PRINT 2319 1775","journalAbbreviation":"IJFANS INTERNATIONAL JOURNAL OF FOOD AND NUTRITIONAL SCIENCES","title":"Preliminary Phytochemical &amp; In-vitro Anti-diabetic Activity of Different Extracts of Plumbago zeylanica Linn. Root","volume":"Journal Volume 11","author":[{"family":"Praveen Kumar Soni","given":""},{"family":"Ashish Agrawal","given":""}],"issued":{"date-parts":[["2022",12]]}}}],"schema":"https://github.com/citation-style-language/schema/raw/master/csl-citation.json"} </w:instrText>
      </w:r>
      <w:r w:rsidRPr="002646EE">
        <w:rPr>
          <w:rStyle w:val="NormalWebChar"/>
          <w:rFonts w:eastAsiaTheme="minorHAnsi"/>
        </w:rPr>
        <w:fldChar w:fldCharType="separate"/>
      </w:r>
      <w:r w:rsidRPr="002646EE">
        <w:rPr>
          <w:rFonts w:ascii="Times New Roman" w:hAnsi="Times New Roman" w:cs="Times New Roman"/>
          <w:sz w:val="24"/>
          <w:szCs w:val="24"/>
        </w:rPr>
        <w:t>(Praveen Kumar Soni &amp; Ashish Agrawal, 2022)</w:t>
      </w:r>
      <w:r w:rsidRPr="002646EE">
        <w:rPr>
          <w:rStyle w:val="NormalWebChar"/>
          <w:rFonts w:eastAsiaTheme="minorHAnsi"/>
        </w:rPr>
        <w:fldChar w:fldCharType="end"/>
      </w:r>
      <w:r w:rsidRPr="002646EE">
        <w:rPr>
          <w:rStyle w:val="NormalWebChar"/>
          <w:rFonts w:eastAsiaTheme="minorHAnsi"/>
        </w:rPr>
        <w:t>.</w:t>
      </w:r>
    </w:p>
    <w:p w:rsidR="00CB2BBE" w:rsidRPr="002646EE" w:rsidRDefault="00CB2BBE" w:rsidP="00CB2BBE">
      <w:pPr>
        <w:spacing w:after="0" w:line="360" w:lineRule="auto"/>
        <w:rPr>
          <w:rStyle w:val="NormalWebChar"/>
          <w:rFonts w:eastAsiaTheme="minorHAnsi"/>
          <w:b/>
        </w:rPr>
      </w:pPr>
    </w:p>
    <w:p w:rsidR="00CB2BBE" w:rsidRPr="002646EE" w:rsidRDefault="00CB2BBE" w:rsidP="00CB2BBE">
      <w:pPr>
        <w:spacing w:after="0" w:line="360" w:lineRule="auto"/>
        <w:rPr>
          <w:rFonts w:ascii="Times New Roman" w:eastAsia="Times New Roman" w:hAnsi="Times New Roman" w:cs="Times New Roman"/>
          <w:b/>
          <w:bCs/>
          <w:i/>
          <w:iCs/>
          <w:color w:val="000000"/>
          <w:sz w:val="24"/>
          <w:szCs w:val="24"/>
          <w:lang w:eastAsia="en-IN"/>
        </w:rPr>
      </w:pPr>
      <w:r w:rsidRPr="002646EE">
        <w:rPr>
          <w:rFonts w:ascii="Times New Roman" w:hAnsi="Times New Roman" w:cs="Times New Roman"/>
          <w:b/>
          <w:bCs/>
          <w:i/>
          <w:iCs/>
          <w:color w:val="000000"/>
          <w:sz w:val="24"/>
          <w:szCs w:val="24"/>
        </w:rPr>
        <w:t>Murva (Marsdenia tenacissima)</w:t>
      </w:r>
    </w:p>
    <w:p w:rsidR="00CB2BBE" w:rsidRPr="002646EE" w:rsidRDefault="00CB2BBE" w:rsidP="00CB2BBE">
      <w:pPr>
        <w:spacing w:after="0" w:line="360" w:lineRule="auto"/>
        <w:rPr>
          <w:rStyle w:val="NormalWebChar"/>
          <w:rFonts w:eastAsiaTheme="minorHAnsi"/>
        </w:rPr>
      </w:pPr>
      <w:r w:rsidRPr="002646EE">
        <w:rPr>
          <w:rStyle w:val="NormalWebChar"/>
          <w:rFonts w:eastAsiaTheme="minorHAnsi"/>
        </w:rPr>
        <w:t xml:space="preserve">Marsdenia tenacissima demonstrates an anti-hyperglycemic effect by lowering blood glucose levels in glucose-loaded hyperglycemic animals. Additionally, it reduces the blood lipid profile in triton-treated rats </w:t>
      </w:r>
      <w:r w:rsidRPr="002646EE">
        <w:rPr>
          <w:rStyle w:val="NormalWebChar"/>
          <w:rFonts w:eastAsiaTheme="minorHAnsi"/>
        </w:rPr>
        <w:fldChar w:fldCharType="begin"/>
      </w:r>
      <w:r w:rsidRPr="002646EE">
        <w:rPr>
          <w:rStyle w:val="NormalWebChar"/>
          <w:rFonts w:eastAsiaTheme="minorHAnsi"/>
        </w:rPr>
        <w:instrText xml:space="preserve"> ADDIN ZOTERO_ITEM CSL_CITATION {"citationID":"itnmnx7B","properties":{"formattedCitation":"(Nayak, 2023)","plainCitation":"(Nayak, 2023)","noteIndex":0},"citationItems":[{"id":298,"uris":["http://zotero.org/users/local/Eg2UsBJR/items/DDKPWGPI"],"itemData":{"id":298,"type":"article-journal","container-title":"Journal of Pharmacology and Toxicology","DOI":"10.3923/jpt.2023.10.16","ISSN":"1816496X","issue":"1","journalAbbreviation":"J. of Pharmacology and Toxicology","page":"10-16","source":"DOI.org (Crossref)","title":"Evaluation of Antidiabetic and Lipid-Lowering Effect of Marsdenia tenacissima and Sphaeranthus indicus","volume":"18","author":[{"family":"Nayak","given":"Arabinda"}],"issued":{"date-parts":[["2023",1,15]]}}}],"schema":"https://github.com/citation-style-language/schema/raw/master/csl-citation.json"} </w:instrText>
      </w:r>
      <w:r w:rsidRPr="002646EE">
        <w:rPr>
          <w:rStyle w:val="NormalWebChar"/>
          <w:rFonts w:eastAsiaTheme="minorHAnsi"/>
        </w:rPr>
        <w:fldChar w:fldCharType="separate"/>
      </w:r>
      <w:r w:rsidRPr="002646EE">
        <w:rPr>
          <w:rFonts w:ascii="Times New Roman" w:hAnsi="Times New Roman" w:cs="Times New Roman"/>
          <w:sz w:val="24"/>
          <w:szCs w:val="24"/>
        </w:rPr>
        <w:t>(Nayak, 2023)</w:t>
      </w:r>
      <w:r w:rsidRPr="002646EE">
        <w:rPr>
          <w:rStyle w:val="NormalWebChar"/>
          <w:rFonts w:eastAsiaTheme="minorHAnsi"/>
        </w:rPr>
        <w:fldChar w:fldCharType="end"/>
      </w:r>
      <w:r w:rsidRPr="002646EE">
        <w:rPr>
          <w:rStyle w:val="NormalWebChar"/>
          <w:rFonts w:eastAsiaTheme="minorHAnsi"/>
        </w:rPr>
        <w:t>.</w:t>
      </w:r>
    </w:p>
    <w:p w:rsidR="00CB2BBE" w:rsidRPr="002646EE" w:rsidRDefault="00CB2BBE" w:rsidP="00CB2BBE">
      <w:pPr>
        <w:spacing w:after="0" w:line="360" w:lineRule="auto"/>
        <w:rPr>
          <w:rStyle w:val="NormalWebChar"/>
          <w:rFonts w:eastAsiaTheme="minorHAnsi"/>
          <w:b/>
        </w:rPr>
      </w:pPr>
    </w:p>
    <w:p w:rsidR="00CB2BBE" w:rsidRPr="002646EE" w:rsidRDefault="00CB2BBE" w:rsidP="00CB2BBE">
      <w:pPr>
        <w:spacing w:after="0" w:line="360" w:lineRule="auto"/>
        <w:rPr>
          <w:rFonts w:ascii="Times New Roman" w:hAnsi="Times New Roman" w:cs="Times New Roman"/>
          <w:b/>
          <w:i/>
          <w:iCs/>
          <w:color w:val="000000"/>
          <w:sz w:val="24"/>
          <w:szCs w:val="24"/>
        </w:rPr>
      </w:pPr>
    </w:p>
    <w:p w:rsidR="00214CEF" w:rsidRPr="002646EE" w:rsidRDefault="00214CEF" w:rsidP="00CB2BBE">
      <w:pPr>
        <w:spacing w:after="0" w:line="360" w:lineRule="auto"/>
        <w:rPr>
          <w:rFonts w:ascii="Times New Roman" w:hAnsi="Times New Roman" w:cs="Times New Roman"/>
          <w:b/>
          <w:i/>
          <w:iCs/>
          <w:color w:val="000000"/>
          <w:sz w:val="24"/>
          <w:szCs w:val="24"/>
        </w:rPr>
      </w:pPr>
    </w:p>
    <w:p w:rsidR="00CB2BBE" w:rsidRPr="002646EE" w:rsidRDefault="00CB2BBE" w:rsidP="00CB2BBE">
      <w:pPr>
        <w:spacing w:after="0" w:line="360" w:lineRule="auto"/>
        <w:rPr>
          <w:rStyle w:val="NormalWebChar"/>
          <w:rFonts w:eastAsiaTheme="minorHAnsi"/>
          <w:b/>
        </w:rPr>
      </w:pPr>
      <w:r w:rsidRPr="002646EE">
        <w:rPr>
          <w:rFonts w:ascii="Times New Roman" w:hAnsi="Times New Roman" w:cs="Times New Roman"/>
          <w:b/>
          <w:i/>
          <w:iCs/>
          <w:color w:val="000000"/>
          <w:sz w:val="24"/>
          <w:szCs w:val="24"/>
        </w:rPr>
        <w:lastRenderedPageBreak/>
        <w:t>Bilwa (Aegle marmelos (L.) Corrêa</w:t>
      </w:r>
      <w:r w:rsidRPr="002646EE">
        <w:rPr>
          <w:rStyle w:val="NormalWebChar"/>
          <w:rFonts w:eastAsiaTheme="minorHAnsi"/>
          <w:b/>
        </w:rPr>
        <w:t>)</w:t>
      </w:r>
    </w:p>
    <w:p w:rsidR="00CB2BBE" w:rsidRPr="002646EE" w:rsidRDefault="00CB2BBE" w:rsidP="00CB2BBE">
      <w:pPr>
        <w:spacing w:after="0" w:line="360" w:lineRule="auto"/>
        <w:rPr>
          <w:rStyle w:val="NormalWebChar"/>
          <w:rFonts w:eastAsiaTheme="minorHAnsi"/>
          <w:b/>
        </w:rPr>
      </w:pPr>
      <w:r w:rsidRPr="002646EE">
        <w:rPr>
          <w:rFonts w:ascii="Times New Roman" w:hAnsi="Times New Roman" w:cs="Times New Roman"/>
          <w:color w:val="2B2D38"/>
          <w:sz w:val="24"/>
          <w:szCs w:val="24"/>
          <w:shd w:val="clear" w:color="auto" w:fill="FFFFFF"/>
        </w:rPr>
        <w:t xml:space="preserve">The methanolic extract of Aegle marmelos effectively lowered blood sugar levels in rats with alloxan-induced diabetes. The extract effectively diminished the oxidative stress caused by alloxan </w:t>
      </w:r>
      <w:r w:rsidRPr="002646EE">
        <w:rPr>
          <w:rFonts w:ascii="Times New Roman" w:hAnsi="Times New Roman" w:cs="Times New Roman"/>
          <w:color w:val="2B2D38"/>
          <w:sz w:val="24"/>
          <w:szCs w:val="24"/>
          <w:shd w:val="clear" w:color="auto" w:fill="FFFFFF"/>
        </w:rPr>
        <w:fldChar w:fldCharType="begin"/>
      </w:r>
      <w:r w:rsidRPr="002646EE">
        <w:rPr>
          <w:rFonts w:ascii="Times New Roman" w:hAnsi="Times New Roman" w:cs="Times New Roman"/>
          <w:color w:val="2B2D38"/>
          <w:sz w:val="24"/>
          <w:szCs w:val="24"/>
          <w:shd w:val="clear" w:color="auto" w:fill="FFFFFF"/>
        </w:rPr>
        <w:instrText xml:space="preserve"> ADDIN ZOTERO_ITEM CSL_CITATION {"citationID":"yn1a83Jc","properties":{"formattedCitation":"(M C Sabu &amp; Ramadasan Kuttan, 2004)","plainCitation":"(M C Sabu &amp; Ramadasan Kuttan, 2004)","noteIndex":0},"citationItems":[{"id":312,"uris":["http://zotero.org/users/local/Eg2UsBJR/items/QJEW59TJ"],"itemData":{"id":312,"type":"article-journal","title":"Antidiabetic activity of Aegle marmelos and its relationship with its antioxidant properties","author":[{"family":"M C Sabu","given":""},{"family":"Ramadasan Kuttan","given":""}],"issued":{"date-parts":[["2004"]]}}}],"schema":"https://github.com/citation-style-language/schema/raw/master/csl-citation.json"} </w:instrText>
      </w:r>
      <w:r w:rsidRPr="002646EE">
        <w:rPr>
          <w:rFonts w:ascii="Times New Roman" w:hAnsi="Times New Roman" w:cs="Times New Roman"/>
          <w:color w:val="2B2D38"/>
          <w:sz w:val="24"/>
          <w:szCs w:val="24"/>
          <w:shd w:val="clear" w:color="auto" w:fill="FFFFFF"/>
        </w:rPr>
        <w:fldChar w:fldCharType="separate"/>
      </w:r>
      <w:r w:rsidRPr="002646EE">
        <w:rPr>
          <w:rFonts w:ascii="Times New Roman" w:hAnsi="Times New Roman" w:cs="Times New Roman"/>
          <w:sz w:val="24"/>
          <w:szCs w:val="24"/>
        </w:rPr>
        <w:t>(M C Sabu &amp; Ramadasan Kuttan, 2004)</w:t>
      </w:r>
      <w:r w:rsidRPr="002646EE">
        <w:rPr>
          <w:rFonts w:ascii="Times New Roman" w:hAnsi="Times New Roman" w:cs="Times New Roman"/>
          <w:color w:val="2B2D38"/>
          <w:sz w:val="24"/>
          <w:szCs w:val="24"/>
          <w:shd w:val="clear" w:color="auto" w:fill="FFFFFF"/>
        </w:rPr>
        <w:fldChar w:fldCharType="end"/>
      </w:r>
      <w:r w:rsidRPr="002646EE">
        <w:rPr>
          <w:rFonts w:ascii="Times New Roman" w:hAnsi="Times New Roman" w:cs="Times New Roman"/>
          <w:color w:val="2B2D38"/>
          <w:sz w:val="24"/>
          <w:szCs w:val="24"/>
          <w:shd w:val="clear" w:color="auto" w:fill="FFFFFF"/>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u w:val="single"/>
        </w:rPr>
      </w:pPr>
      <w:r w:rsidRPr="002646EE">
        <w:rPr>
          <w:rFonts w:ascii="Times New Roman" w:hAnsi="Times New Roman" w:cs="Times New Roman"/>
          <w:b/>
          <w:i/>
          <w:iCs/>
          <w:color w:val="000000"/>
          <w:sz w:val="24"/>
          <w:szCs w:val="24"/>
        </w:rPr>
        <w:t>Kitamari (Aristolochia bracteolata Lam)</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u w:val="single"/>
        </w:rPr>
      </w:pPr>
      <w:r w:rsidRPr="002646EE">
        <w:rPr>
          <w:rFonts w:ascii="Times New Roman" w:hAnsi="Times New Roman" w:cs="Times New Roman"/>
          <w:color w:val="000000" w:themeColor="text1"/>
          <w:sz w:val="24"/>
          <w:szCs w:val="24"/>
        </w:rPr>
        <w:t xml:space="preserve">The root extract of </w:t>
      </w:r>
      <w:r w:rsidRPr="002646EE">
        <w:rPr>
          <w:rStyle w:val="Emphasis"/>
          <w:rFonts w:ascii="Times New Roman" w:hAnsi="Times New Roman" w:cs="Times New Roman"/>
          <w:color w:val="000000" w:themeColor="text1"/>
          <w:sz w:val="24"/>
          <w:szCs w:val="24"/>
        </w:rPr>
        <w:t>A. bracteolata</w:t>
      </w:r>
      <w:r w:rsidRPr="002646EE">
        <w:rPr>
          <w:rFonts w:ascii="Times New Roman" w:hAnsi="Times New Roman" w:cs="Times New Roman"/>
          <w:color w:val="000000" w:themeColor="text1"/>
          <w:sz w:val="24"/>
          <w:szCs w:val="24"/>
        </w:rPr>
        <w:t xml:space="preserve"> in methanol has demonstrated inhibitory effects on α-amylase and α-glucosidase enzymes. Additionally, this extract has been reported to possess both anti-diabetic and hypolipidemic activities</w:t>
      </w:r>
      <w:r w:rsidRPr="002646EE">
        <w:rPr>
          <w:rFonts w:ascii="Times New Roman" w:hAnsi="Times New Roman" w:cs="Times New Roman"/>
          <w:color w:val="000000" w:themeColor="text1"/>
          <w:sz w:val="24"/>
          <w:szCs w:val="24"/>
        </w:rPr>
        <w:fldChar w:fldCharType="begin"/>
      </w:r>
      <w:r w:rsidRPr="002646EE">
        <w:rPr>
          <w:rFonts w:ascii="Times New Roman" w:hAnsi="Times New Roman" w:cs="Times New Roman"/>
          <w:color w:val="000000" w:themeColor="text1"/>
          <w:sz w:val="24"/>
          <w:szCs w:val="24"/>
        </w:rPr>
        <w:instrText xml:space="preserve"> ADDIN ZOTERO_ITEM CSL_CITATION {"citationID":"B0sjU1Ro","properties":{"formattedCitation":"(Agada et al., 2022)","plainCitation":"(Agada et al., 2022)","noteIndex":0},"citationItems":[{"id":299,"uris":["http://zotero.org/users/local/Eg2UsBJR/items/SFNXSRQD"],"itemData":{"id":299,"type":"article-journal","DOI":"doi.org/10.36721/PJPS.2022.35.5.REG.1287-1294.1","title":"Studies on antioxidant, anti-diabetic and GC-MS analyses of methanol extract of Aristolochia bracteolata root bark","author":[{"family":"Agada","given":"Reuben"},{"family":"Lydia2","given":"Daniel Esther"},{"family":"Khusro3","given":"Ameer"}],"issued":{"date-parts":[["2022"]]}}}],"schema":"https://github.com/citation-style-language/schema/raw/master/csl-citation.json"} </w:instrText>
      </w:r>
      <w:r w:rsidRPr="002646EE">
        <w:rPr>
          <w:rFonts w:ascii="Times New Roman" w:hAnsi="Times New Roman" w:cs="Times New Roman"/>
          <w:color w:val="000000" w:themeColor="text1"/>
          <w:sz w:val="24"/>
          <w:szCs w:val="24"/>
        </w:rPr>
        <w:fldChar w:fldCharType="separate"/>
      </w:r>
      <w:r w:rsidRPr="002646EE">
        <w:rPr>
          <w:rFonts w:ascii="Times New Roman" w:hAnsi="Times New Roman" w:cs="Times New Roman"/>
          <w:sz w:val="24"/>
          <w:szCs w:val="24"/>
        </w:rPr>
        <w:t>(Agada et al., 2022)</w:t>
      </w:r>
      <w:r w:rsidRPr="002646EE">
        <w:rPr>
          <w:rFonts w:ascii="Times New Roman" w:hAnsi="Times New Roman" w:cs="Times New Roman"/>
          <w:color w:val="000000" w:themeColor="text1"/>
          <w:sz w:val="24"/>
          <w:szCs w:val="24"/>
        </w:rPr>
        <w:fldChar w:fldCharType="end"/>
      </w:r>
    </w:p>
    <w:p w:rsidR="00CB2BBE" w:rsidRPr="002646EE" w:rsidRDefault="00CB2BBE" w:rsidP="00CB2BBE">
      <w:pPr>
        <w:autoSpaceDE w:val="0"/>
        <w:autoSpaceDN w:val="0"/>
        <w:adjustRightInd w:val="0"/>
        <w:spacing w:after="0" w:line="360" w:lineRule="auto"/>
        <w:jc w:val="both"/>
        <w:rPr>
          <w:rFonts w:ascii="Times New Roman" w:hAnsi="Times New Roman" w:cs="Times New Roman"/>
          <w:b/>
          <w:i/>
          <w:iCs/>
          <w:color w:val="000000"/>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color w:val="000000" w:themeColor="text1"/>
          <w:sz w:val="24"/>
          <w:szCs w:val="24"/>
          <w:u w:val="single"/>
        </w:rPr>
      </w:pPr>
      <w:r w:rsidRPr="002646EE">
        <w:rPr>
          <w:rFonts w:ascii="Times New Roman" w:hAnsi="Times New Roman" w:cs="Times New Roman"/>
          <w:b/>
          <w:i/>
          <w:iCs/>
          <w:color w:val="000000"/>
          <w:sz w:val="24"/>
          <w:szCs w:val="24"/>
        </w:rPr>
        <w:t>Brihati (Solanum indicum L)</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The methanolic extract demonstrated a dose-dependent hypoglycemic effect in an oral glucose tolerance test. Compared to STZ-diabetic rats, the extract significantly reduced blood glucose levels. This effect may be attributed to the stimulation and release of insulin from regenerated pancreatic β cells through inhibition of ATP-sensitive K+ channels, similar to the standard drug Glibenclamide. Additionally, the phenolic and antioxidant compounds present in the extract likely contribute to this hypoglycemic activity.</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Fonts w:ascii="Times New Roman" w:hAnsi="Times New Roman" w:cs="Times New Roman"/>
          <w:b/>
          <w:i/>
          <w:iCs/>
          <w:color w:val="000000"/>
          <w:sz w:val="24"/>
          <w:szCs w:val="24"/>
        </w:rPr>
        <w:t>Bhadra (Aerva lanata (L.) Juss. ex Schult).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Style w:val="NormalWebChar"/>
          <w:rFonts w:eastAsiaTheme="minorHAnsi"/>
        </w:rPr>
        <w:t xml:space="preserve">The dry fractions of Aerva lanata exhibited the most potent α-glucosidase inhibitory activity, with values recorded at twice the inhibitory effect of the standard α-glucosidase inhibitor, acarbose. While the maximum α-amylase inhibitory effect was also observed, it was less potent compared to acarbose </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{"citationID":"vJorsQxC","properties":{"formattedCitation":"(Pieczykolan et al., 2021)","plainCitation":"(Pieczykolan et al., 2021)","noteIndex":0},"citationItems":[{"id":300,"uris":["http://zotero.org/users/local/Eg2UsBJR/items/YCWA5FQX"],"itemData":{"id":300,"type":"article-journal","abstract":"Many plants that are commonly used in folk medicine have multidirectional biological properties confirmed by scientific research. One of them is Aerva lanata (L.) Juss. (F. Amaranthaceae). It is widely used, but there are very few scientific data about its chemical composition and pharmacological activity. The aim of the present study was to investigate the chemical composition of phenolic acid (PA)-rich fractions isolated from methanolic extracts of A. lanata (L.) Juss. herb using the liquid/liquid extraction method and their potential antioxidant, anti-inflammatory, and anti-diabetic properties. The free PA fraction (FA), the PA fraction (FB) released after acid hydrolysis, and the PA fraction (FC) obtained after alkaline hydrolysis were analysed using liquid chromatography/electrospray ionization triple quadrupole mass spectrometry (LC-ESI-MS/MS). The phenolic profile of each sample showed a high concentration of PAs and their presence in A. lanata (L.) Juss. herb mainly in bound states. Thirteen compounds were detected and quantified in all samples, including some PAs that had not been previously detected in this plant species. Bioactivity assays of all fractions revealed high 2,2-diphenyl-1-picrylhydrazyl (DPPH•) (2.85 mM Trolox equivalents (TE)/g) and 2,2-azino-bis-3(ethylbenzthiazoline-6-sulphonic acid) (ABTS•+) (2.88 mM TE/g) scavenging activity. Fraction FB definitely exhibited not only the highest antiradical activity but also the strongest xanthine oxidase (XO) (EC50 = 1.77 mg/mL) and lipoxygenase (LOX)(EC50 = 1.88 mg/mL) inhibitory potential. The fraction had the best anti-diabetic properties, i.e., mild inhibition of α-amylase (EC50 = 7.46 mg/mL) and strong inhibition of α-glucosidase (EC50 = 0.30 mg/mL). The activities of all analysed samples were strongly related to the presence of PA compounds and the total PA content.","container-title":"Molecules","DOI":"10.3390/molecules26123486","ISSN":"1420-3049","issue":"12","journalAbbreviation":"Molecules","language":"en","license":"https://creativecommons.org/licenses/by/4.0/","page":"3486","source":"DOI.org (Crossref)","title":"Antioxidant, Anti-Inflammatory, and Anti-Diabetic Activity of Phenolic Acids Fractions Obtained from Aerva lanata (L.) Juss.","volume":"26","author":[{"family":"Pieczykolan","given":"Aleksandra"},{"family":"Pietrzak","given":"Wioleta"},{"family":"Gawlik-Dziki","given":"Urszula"},{"family":"Nowak","given":"Renata"}],"issued":{"date-parts":[["2021",6,8]]}}}],"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(Pieczykolan et al., 2021)</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CB2BBE" w:rsidRPr="002646EE" w:rsidRDefault="00CB2BBE" w:rsidP="00CB2BBE">
      <w:pPr>
        <w:spacing w:after="0" w:line="360" w:lineRule="auto"/>
        <w:rPr>
          <w:rStyle w:val="NormalWebChar"/>
          <w:rFonts w:eastAsiaTheme="minorHAnsi"/>
          <w:b/>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Fonts w:ascii="Times New Roman" w:hAnsi="Times New Roman" w:cs="Times New Roman"/>
          <w:b/>
          <w:i/>
          <w:iCs/>
          <w:color w:val="000000"/>
          <w:sz w:val="24"/>
          <w:szCs w:val="24"/>
        </w:rPr>
        <w:t>Karanja (Pongamia pinnata (L.) Pierre</w:t>
      </w:r>
      <w:r w:rsidRPr="002646EE">
        <w:rPr>
          <w:rFonts w:ascii="Times New Roman" w:eastAsia="ArialMT" w:hAnsi="Times New Roman" w:cs="Times New Roman"/>
          <w:b/>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The alcohol extract of Pongamia pinnata has been found to significantly lower high blood glucose levels and prevent weight loss in alloxan-induced diabetic mice. This extract increased the glucose threshold in normal mice, demonstrating its antihyperglycemic properties and its ability to prevent further weight loss in diabetic animals. The active compoundsis responsible for these significant antihyperglycemic effects from the stem bark of Pongamia pinnata</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{"citationID":"zTOXrPiS","properties":{"formattedCitation":"(Badole et al., 2008)","plainCitation":"(Badole et al., 2008)","noteIndex":0},"citationItems":[{"id":302,"uris":["http://zotero.org/users/local/Eg2UsBJR/items/BZKA83B4"],"itemData":{"id":302,"type":"article-journal","container-title":"Pharmaceutical Biology","DOI":"10.1080/13880200802370381","ISSN":"1388-0209, 1744-5116","issue":"12","journalAbbreviation":"Pharmaceutical Biology","language":"en","page":"900-905","source":"DOI.org (Crossref)","title":"Antihyperglycemic Activity of &lt;i&gt;Pongamia pinnata&lt;/i&gt; Stem Bark in Diabetic Mice","volume":"46","author":[{"family":"Badole","given":"Sachin L."},{"literal":"Subhash"},{"family":"Bodhankar","given":"L."}],"issued":{"date-parts":[["2008",1]]}}}],"schema":"https://github.com/citation-style-language/schema/raw/master/csl-citation.json"}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(Badole et al., 2008)</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autoSpaceDE w:val="0"/>
        <w:autoSpaceDN w:val="0"/>
        <w:adjustRightInd w:val="0"/>
        <w:spacing w:after="0" w:line="360" w:lineRule="auto"/>
        <w:jc w:val="both"/>
        <w:rPr>
          <w:rFonts w:ascii="Times New Roman" w:hAnsi="Times New Roman" w:cs="Times New Roman"/>
          <w:b/>
          <w:i/>
          <w:iCs/>
          <w:color w:val="000000"/>
          <w:sz w:val="24"/>
          <w:szCs w:val="24"/>
        </w:rPr>
      </w:pPr>
    </w:p>
    <w:p w:rsidR="00214CEF" w:rsidRPr="002646EE" w:rsidRDefault="00214CEF" w:rsidP="00CB2BBE">
      <w:pPr>
        <w:rPr>
          <w:rFonts w:ascii="Times New Roman" w:hAnsi="Times New Roman" w:cs="Times New Roman"/>
          <w:b/>
          <w:i/>
          <w:iCs/>
          <w:color w:val="000000"/>
          <w:sz w:val="24"/>
          <w:szCs w:val="24"/>
        </w:rPr>
      </w:pPr>
    </w:p>
    <w:p w:rsidR="00CB2BBE" w:rsidRPr="002646EE" w:rsidRDefault="00CB2BBE" w:rsidP="00CB2BBE">
      <w:pPr>
        <w:rPr>
          <w:rFonts w:ascii="Times New Roman" w:hAnsi="Times New Roman" w:cs="Times New Roman"/>
          <w:b/>
          <w:i/>
          <w:iCs/>
          <w:color w:val="000000"/>
          <w:sz w:val="24"/>
          <w:szCs w:val="24"/>
        </w:rPr>
      </w:pPr>
      <w:r w:rsidRPr="002646EE">
        <w:rPr>
          <w:rFonts w:ascii="Times New Roman" w:hAnsi="Times New Roman" w:cs="Times New Roman"/>
          <w:b/>
          <w:i/>
          <w:iCs/>
          <w:color w:val="000000"/>
          <w:sz w:val="24"/>
          <w:szCs w:val="24"/>
        </w:rPr>
        <w:lastRenderedPageBreak/>
        <w:t>Chiribilwa (Holoptelia integrifolia(Roxb.) Planch</w:t>
      </w:r>
      <w:r w:rsidRPr="002646EE">
        <w:rPr>
          <w:rFonts w:ascii="Times New Roman" w:eastAsia="ArialMT" w:hAnsi="Times New Roman" w:cs="Times New Roman"/>
          <w:b/>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bCs/>
          <w:sz w:val="24"/>
          <w:szCs w:val="24"/>
        </w:rPr>
      </w:pPr>
      <w:r w:rsidRPr="002646EE">
        <w:rPr>
          <w:rFonts w:ascii="Times New Roman" w:hAnsi="Times New Roman" w:cs="Times New Roman"/>
          <w:color w:val="2B2D38"/>
          <w:sz w:val="24"/>
          <w:szCs w:val="24"/>
          <w:shd w:val="clear" w:color="auto" w:fill="FFFFFF"/>
        </w:rPr>
        <w:t xml:space="preserve">The ethanolic, chloroform, and aqueous extracts demonstrated significant antidiabetic activity, likely due to the presence of steroids and glycosides in the extracts. These phytocompounds may inhibit ATP-sensitive potassium channels in pancreatic beta cells, leading to cell membrane depolarization. This depolarization triggers the opening of voltage-dependent calcium channels, increasing intracellular calcium levels in the beta cells and stimulating insulin release </w:t>
      </w:r>
      <w:r w:rsidRPr="002646EE">
        <w:rPr>
          <w:rFonts w:ascii="Times New Roman" w:hAnsi="Times New Roman" w:cs="Times New Roman"/>
          <w:color w:val="2B2D38"/>
          <w:sz w:val="24"/>
          <w:szCs w:val="24"/>
          <w:shd w:val="clear" w:color="auto" w:fill="FFFFFF"/>
        </w:rPr>
        <w:fldChar w:fldCharType="begin"/>
      </w:r>
      <w:r w:rsidRPr="002646EE">
        <w:rPr>
          <w:rFonts w:ascii="Times New Roman" w:hAnsi="Times New Roman" w:cs="Times New Roman"/>
          <w:color w:val="2B2D38"/>
          <w:sz w:val="24"/>
          <w:szCs w:val="24"/>
          <w:shd w:val="clear" w:color="auto" w:fill="FFFFFF"/>
        </w:rPr>
        <w:instrText xml:space="preserve"> ADDIN ZOTERO_ITEM CSL_CITATION {"citationID":"EBcVA6q5","properties":{"formattedCitation":"(Ganie &amp; Yadav, 2014)","plainCitation":"(Ganie &amp; Yadav, 2014)","noteIndex":0},"citationItems":[{"id":313,"uris":["http://zotero.org/users/local/Eg2UsBJR/items/SGD3WV38"],"itemData":{"id":313,"type":"article-journal","abstract":"Holoptelea integrifolia\n              (Ulmaceae) is a versatile medicinal plant used in various indigenous systems of medicine for curing routine healthcare maladies. It is traditionally used in the treatment and prevention of several ailments like leprosy, inflammation, rickets, leucoderma, scabies, rheumatism, ringworm, eczema, malaria, intestinal cancer, and chronic wounds.\n              In vitro\n              and\n              in vivo\n              pharmacological investigations on crude extracts and isolated compounds showed antibacterial, antifungal, analgesic, antioxidant, anti-inflammatory, anthelmintic, antidiabetic, antidiarrhoeal, adaptogenic, anticancer, wound healing, hepatoprotective, larvicidal, antiemetic, CNS depressant, and hypolipidemic activities. Phytochemical analysis showed the presence of terpenoids, sterols, saponins, tannins, proteins, carbohydrates, alkaloids, phenols, flavonoids, glycosides, and quinines. Numerous compounds including Holoptelin-A, Holoptelin-B, friedlin, epifriedlin,\n              β\n              -amyrin, stigmasterol,\n              β\n              -sitosterol, 1, 4-napthalenedione, betulin, betulinic acid, hexacosanol, and octacosanol have been identified and isolated from the plant species. The results of several studies indicated that\n              H. integrifolia\n              may be used as an effective therapeutic remedy in the prevention and treatment of various ailments. However, further studies on chemical constituents and their mechanisms in exhibiting certain biological activities are needed. In addition, study on the toxicity of the crude extracts and the compounds isolated from this plant should be assessed to ensure their eligibility to be used as source of modern medicines.","container-title":"BioMed Research International","DOI":"10.1155/2014/401213","ISSN":"2314-6133, 2314-6141","journalAbbreviation":"BioMed Research International","language":"en","license":"http://creativecommons.org/licenses/by/3.0/","page":"1-12","source":"DOI.org (Crossref)","title":"&lt;i&gt;Holoptelea integrifolia&lt;/i&gt; (Roxb.) Planch: A Review of Its Ethnobotany, Pharmacology, and Phytochemistry","title-short":"&lt;i&gt;Holoptelea integrifolia&lt;/i&gt; (Roxb.) Planch","volume":"2014","author":[{"family":"Ganie","given":"Showkat Ahmad"},{"family":"Yadav","given":"Surender Singh"}],"issued":{"date-parts":[["2014"]]}}}],"schema":"https://github.com/citation-style-language/schema/raw/master/csl-citation.json"} </w:instrText>
      </w:r>
      <w:r w:rsidRPr="002646EE">
        <w:rPr>
          <w:rFonts w:ascii="Times New Roman" w:hAnsi="Times New Roman" w:cs="Times New Roman"/>
          <w:color w:val="2B2D38"/>
          <w:sz w:val="24"/>
          <w:szCs w:val="24"/>
          <w:shd w:val="clear" w:color="auto" w:fill="FFFFFF"/>
        </w:rPr>
        <w:fldChar w:fldCharType="separate"/>
      </w:r>
      <w:r w:rsidRPr="002646EE">
        <w:rPr>
          <w:rFonts w:ascii="Times New Roman" w:hAnsi="Times New Roman" w:cs="Times New Roman"/>
          <w:sz w:val="24"/>
          <w:szCs w:val="24"/>
        </w:rPr>
        <w:t>(Ganie &amp; Yadav, 2014)</w:t>
      </w:r>
      <w:r w:rsidRPr="002646EE">
        <w:rPr>
          <w:rFonts w:ascii="Times New Roman" w:hAnsi="Times New Roman" w:cs="Times New Roman"/>
          <w:color w:val="2B2D38"/>
          <w:sz w:val="24"/>
          <w:szCs w:val="24"/>
          <w:shd w:val="clear" w:color="auto" w:fill="FFFFFF"/>
        </w:rPr>
        <w:fldChar w:fldCharType="end"/>
      </w:r>
      <w:r w:rsidRPr="002646EE">
        <w:rPr>
          <w:rFonts w:ascii="Times New Roman" w:hAnsi="Times New Roman" w:cs="Times New Roman"/>
          <w:color w:val="2B2D38"/>
          <w:sz w:val="24"/>
          <w:szCs w:val="24"/>
          <w:shd w:val="clear" w:color="auto" w:fill="FFFFFF"/>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Fonts w:ascii="Times New Roman" w:hAnsi="Times New Roman" w:cs="Times New Roman"/>
          <w:b/>
          <w:i/>
          <w:iCs/>
          <w:color w:val="000000"/>
          <w:sz w:val="24"/>
          <w:szCs w:val="24"/>
        </w:rPr>
        <w:t>Agnimantha (Premna corymbosa (Burm.f.) Rottl. &amp;amp; Willd.</w:t>
      </w:r>
      <w:r w:rsidRPr="002646EE">
        <w:rPr>
          <w:rFonts w:ascii="Times New Roman" w:eastAsia="ArialMT" w:hAnsi="Times New Roman" w:cs="Times New Roman"/>
          <w:b/>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Style w:val="NormalWebChar"/>
          <w:rFonts w:eastAsiaTheme="minorHAnsi"/>
        </w:rPr>
        <w:t>The root extract of Premna corymbosa has demonstrated a significant reduction in blood glucose levels in alloxan-induced hyperglycemic rats. This effect was dose-dependent, with marked decreases in blood glucose observed. The extract's ability to significantly lower blood sugar levels in these rats suggests that it possesses extrapancreatic effects</w:t>
      </w:r>
      <w:r w:rsidRPr="002646EE">
        <w:rPr>
          <w:rFonts w:ascii="Times New Roman" w:eastAsia="Times New Roman" w:hAnsi="Times New Roman" w:cs="Times New Roman"/>
          <w:sz w:val="24"/>
          <w:szCs w:val="24"/>
          <w:lang w:eastAsia="en-IN"/>
        </w:rPr>
        <w:fldChar w:fldCharType="begin"/>
      </w:r>
      <w:r w:rsidRPr="002646EE">
        <w:rPr>
          <w:rFonts w:ascii="Times New Roman" w:eastAsia="Times New Roman" w:hAnsi="Times New Roman" w:cs="Times New Roman"/>
          <w:sz w:val="24"/>
          <w:szCs w:val="24"/>
          <w:lang w:eastAsia="en-IN"/>
        </w:rPr>
        <w:instrText xml:space="preserve"> ADDIN ZOTERO_ITEM CSL_CITATION {"citationID":"i9p5IeLt","properties":{"formattedCitation":"(Dash et al., 2005)","plainCitation":"(Dash et al., 2005)","noteIndex":0},"citationItems":[{"id":303,"uris":["http://zotero.org/users/local/Eg2UsBJR/items/DSLTJ8LQ"],"itemData":{"id":303,"type":"article-journal","journalAbbreviation":"JOURNAL OF NATURAL REMEDIES","title":"A study on the anti-hyperglycaemic effect of Premna corymbosa Rottl. roots","volume":"Vol 5/1","author":[{"family":"Dash","given":"G. K"},{"family":"Patro","given":"Ch. P."},{"family":"Maiti","given":"A. K."}],"issued":{"date-parts":[["2005"]]}}}],"schema":"https://github.com/citation-style-language/schema/raw/master/csl-citation.json"} </w:instrText>
      </w:r>
      <w:r w:rsidRPr="002646EE">
        <w:rPr>
          <w:rFonts w:ascii="Times New Roman" w:eastAsia="Times New Roman" w:hAnsi="Times New Roman" w:cs="Times New Roman"/>
          <w:sz w:val="24"/>
          <w:szCs w:val="24"/>
          <w:lang w:eastAsia="en-IN"/>
        </w:rPr>
        <w:fldChar w:fldCharType="separate"/>
      </w:r>
      <w:r w:rsidRPr="002646EE">
        <w:rPr>
          <w:rFonts w:ascii="Times New Roman" w:hAnsi="Times New Roman" w:cs="Times New Roman"/>
          <w:sz w:val="24"/>
          <w:szCs w:val="24"/>
        </w:rPr>
        <w:t>(Dash et al., 2005)</w:t>
      </w:r>
      <w:r w:rsidRPr="002646EE">
        <w:rPr>
          <w:rFonts w:ascii="Times New Roman" w:eastAsia="Times New Roman" w:hAnsi="Times New Roman" w:cs="Times New Roman"/>
          <w:sz w:val="24"/>
          <w:szCs w:val="24"/>
          <w:lang w:eastAsia="en-IN"/>
        </w:rPr>
        <w:fldChar w:fldCharType="end"/>
      </w:r>
      <w:r w:rsidRPr="002646EE">
        <w:rPr>
          <w:rFonts w:ascii="Times New Roman" w:eastAsia="Times New Roman" w:hAnsi="Times New Roman" w:cs="Times New Roman"/>
          <w:sz w:val="24"/>
          <w:szCs w:val="24"/>
          <w:lang w:eastAsia="en-IN"/>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Fonts w:ascii="Times New Roman" w:hAnsi="Times New Roman" w:cs="Times New Roman"/>
          <w:b/>
          <w:i/>
          <w:iCs/>
          <w:color w:val="000000"/>
          <w:sz w:val="24"/>
          <w:szCs w:val="24"/>
        </w:rPr>
        <w:t>Terminalia chebula Retz.</w:t>
      </w:r>
      <w:r w:rsidRPr="002646EE">
        <w:rPr>
          <w:rFonts w:ascii="Times New Roman" w:eastAsia="Times New Roman" w:hAnsi="Times New Roman" w:cs="Times New Roman"/>
          <w:b/>
          <w:bCs/>
          <w:i/>
          <w:iCs/>
          <w:color w:val="000000"/>
          <w:sz w:val="24"/>
          <w:szCs w:val="24"/>
          <w:lang w:eastAsia="en-IN"/>
        </w:rPr>
        <w:t xml:space="preserve"> (Haritaki)</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rPr>
      </w:pPr>
      <w:r w:rsidRPr="002646EE">
        <w:rPr>
          <w:rStyle w:val="NormalWebChar"/>
          <w:rFonts w:eastAsia="ArialMT"/>
        </w:rPr>
        <w:t xml:space="preserve">Treatment with </w:t>
      </w:r>
      <w:r w:rsidRPr="002646EE">
        <w:rPr>
          <w:rFonts w:ascii="Times New Roman" w:eastAsia="ArialMT" w:hAnsi="Times New Roman" w:cs="Times New Roman"/>
          <w:i/>
          <w:iCs/>
          <w:color w:val="000000"/>
          <w:sz w:val="24"/>
          <w:szCs w:val="24"/>
        </w:rPr>
        <w:t>Terminalia chebula</w:t>
      </w:r>
      <w:r w:rsidRPr="002646EE">
        <w:rPr>
          <w:rStyle w:val="NormalWebChar"/>
          <w:rFonts w:eastAsia="ArialMT"/>
        </w:rPr>
        <w:t xml:space="preserve"> and glibenclamide led to a significant reduction in body weight, followed by improved weight gain, particularly noticeable in rats administered </w:t>
      </w:r>
      <w:r w:rsidRPr="002646EE">
        <w:rPr>
          <w:rFonts w:ascii="Times New Roman" w:eastAsia="ArialMT" w:hAnsi="Times New Roman" w:cs="Times New Roman"/>
          <w:i/>
          <w:iCs/>
          <w:color w:val="000000"/>
          <w:sz w:val="24"/>
          <w:szCs w:val="24"/>
        </w:rPr>
        <w:t>Terminalia chebula</w:t>
      </w:r>
      <w:r w:rsidRPr="002646EE">
        <w:rPr>
          <w:rStyle w:val="NormalWebChar"/>
          <w:rFonts w:eastAsia="ArialMT"/>
        </w:rPr>
        <w:t xml:space="preserve">. Moreover, the ethanol extract from </w:t>
      </w:r>
      <w:r w:rsidRPr="002646EE">
        <w:rPr>
          <w:rFonts w:ascii="Times New Roman" w:eastAsia="ArialMT" w:hAnsi="Times New Roman" w:cs="Times New Roman"/>
          <w:i/>
          <w:iCs/>
          <w:color w:val="000000"/>
          <w:sz w:val="24"/>
          <w:szCs w:val="24"/>
        </w:rPr>
        <w:t>Terminalia chebula</w:t>
      </w:r>
      <w:r w:rsidRPr="002646EE">
        <w:rPr>
          <w:rStyle w:val="NormalWebChar"/>
          <w:rFonts w:eastAsia="ArialMT"/>
        </w:rPr>
        <w:t xml:space="preserve"> fruit demonstrated significant hypoglycemic effects in STZ-induced diabetic rats, surpassing the effectiveness of glibenclamide </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{"citationID":"au4epA7i","properties":{"formattedCitation":"(senthi kumar et al., 2006)","plainCitation":"(senthi kumar et al., 2006)","noteIndex":0},"citationItems":[{"id":304,"uris":["http://zotero.org/users/local/Eg2UsBJR/items/9JBSYRKA"],"itemData":{"id":304,"type":"article-journal","journalAbbreviation":"Journal of health sciences","title":"Treatment with Terminalia chebula and glibenclamide led to a significant reduction in body weight, followed by improved weight gain, particularly noticeable in rats administered Terminalia chebula. Moreover, the ethanol extract from Terminalia chebula fruit demonstrated significant hypoglycemic effects in STZ-induced diabetic rats, surpassing the effectiveness of glibenclamide.","author":[{"family":"kumar","given":"Gandhipuram","non-dropping-particle":"senthi"},{"family":"Arulselvan","given":""},{"family":"Sathish kumar","given":""}],"issued":{"date-parts":[["2006",3,21]]}}}],"schema":"https://github.com/citation-style-language/schema/raw/master/csl-citation.json"}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(senthi kumar et al., 2006)</w:t>
      </w:r>
      <w:r w:rsidRPr="002646EE">
        <w:rPr>
          <w:rFonts w:ascii="Times New Roman" w:eastAsia="ArialMT" w:hAnsi="Times New Roman" w:cs="Times New Roman"/>
          <w:sz w:val="24"/>
          <w:szCs w:val="24"/>
        </w:rPr>
        <w:fldChar w:fldCharType="end"/>
      </w:r>
      <w:r w:rsidRPr="002646EE">
        <w:rPr>
          <w:rFonts w:ascii="Times New Roman" w:eastAsia="ArialMT" w:hAnsi="Times New Roman" w:cs="Times New Roman"/>
          <w:sz w:val="24"/>
          <w:szCs w:val="24"/>
        </w:rPr>
        <w:t>.</w:t>
      </w:r>
    </w:p>
    <w:p w:rsidR="00CB2BBE" w:rsidRPr="002646EE" w:rsidRDefault="00CB2BBE" w:rsidP="00CB2BBE">
      <w:pPr>
        <w:spacing w:before="100" w:beforeAutospacing="1" w:after="100" w:afterAutospacing="1" w:line="360" w:lineRule="auto"/>
        <w:jc w:val="both"/>
        <w:rPr>
          <w:rFonts w:ascii="Times New Roman" w:eastAsia="Times New Roman" w:hAnsi="Times New Roman" w:cs="Times New Roman"/>
          <w:b/>
          <w:i/>
          <w:sz w:val="24"/>
          <w:szCs w:val="24"/>
          <w:lang w:eastAsia="en-IN"/>
        </w:rPr>
      </w:pPr>
      <w:r w:rsidRPr="002646EE">
        <w:rPr>
          <w:rFonts w:ascii="Times New Roman" w:hAnsi="Times New Roman" w:cs="Times New Roman"/>
          <w:b/>
          <w:i/>
          <w:iCs/>
          <w:color w:val="000000"/>
          <w:sz w:val="24"/>
          <w:szCs w:val="24"/>
        </w:rPr>
        <w:t>Moringa olifera Lam.</w:t>
      </w:r>
      <w:r w:rsidRPr="002646EE">
        <w:rPr>
          <w:rFonts w:ascii="Times New Roman" w:eastAsia="Times New Roman" w:hAnsi="Times New Roman" w:cs="Times New Roman"/>
          <w:b/>
          <w:i/>
          <w:sz w:val="24"/>
          <w:szCs w:val="24"/>
          <w:lang w:eastAsia="en-IN"/>
        </w:rPr>
        <w:t xml:space="preserve"> </w:t>
      </w:r>
      <w:r w:rsidRPr="002646EE">
        <w:rPr>
          <w:rFonts w:ascii="Times New Roman" w:hAnsi="Times New Roman" w:cs="Times New Roman"/>
          <w:b/>
          <w:i/>
          <w:iCs/>
          <w:color w:val="000000"/>
          <w:sz w:val="24"/>
          <w:szCs w:val="24"/>
        </w:rPr>
        <w:t>(Shigru)</w:t>
      </w:r>
    </w:p>
    <w:p w:rsidR="00CB2BBE" w:rsidRPr="002646EE" w:rsidRDefault="00CB2BBE" w:rsidP="00CB2BBE">
      <w:pPr>
        <w:spacing w:before="100" w:beforeAutospacing="1" w:after="100" w:afterAutospacing="1" w:line="360" w:lineRule="auto"/>
        <w:jc w:val="both"/>
        <w:rPr>
          <w:rFonts w:ascii="Times New Roman" w:eastAsia="Times New Roman" w:hAnsi="Times New Roman" w:cs="Times New Roman"/>
          <w:b/>
          <w:i/>
          <w:sz w:val="24"/>
          <w:szCs w:val="24"/>
          <w:lang w:eastAsia="en-IN"/>
        </w:rPr>
      </w:pPr>
      <w:r w:rsidRPr="002646EE">
        <w:rPr>
          <w:rStyle w:val="NormalWebChar"/>
          <w:rFonts w:eastAsiaTheme="minorHAnsi"/>
        </w:rPr>
        <w:t xml:space="preserve">The leaves of </w:t>
      </w:r>
      <w:r w:rsidRPr="002646EE">
        <w:rPr>
          <w:rFonts w:ascii="Times New Roman" w:eastAsia="Times New Roman" w:hAnsi="Times New Roman" w:cs="Times New Roman"/>
          <w:i/>
          <w:iCs/>
          <w:color w:val="000000"/>
          <w:sz w:val="24"/>
          <w:szCs w:val="24"/>
          <w:lang w:eastAsia="en-IN"/>
        </w:rPr>
        <w:t>Moringa oleifera</w:t>
      </w:r>
      <w:r w:rsidRPr="002646EE">
        <w:rPr>
          <w:rStyle w:val="NormalWebChar"/>
          <w:rFonts w:eastAsiaTheme="minorHAnsi"/>
        </w:rPr>
        <w:t xml:space="preserve"> serve as an excellent source of green leafy vegetables for reducing diabetic complications in patients. The aqueous extract of these leaves inhibits the activity of α-amylase and α-glucosidase, enhances antioxidant capacity, improves glucose tolerance, and increases the rate of glucose uptake. Therefore, the aqueous extract can be utilized as a phytopharmaceutical for managing diabetes</w:t>
      </w:r>
      <w:r w:rsidRPr="002646EE">
        <w:rPr>
          <w:rFonts w:ascii="Times New Roman" w:eastAsia="Times New Roman" w:hAnsi="Times New Roman" w:cs="Times New Roman"/>
          <w:sz w:val="24"/>
          <w:szCs w:val="24"/>
          <w:lang w:eastAsia="en-IN"/>
        </w:rPr>
        <w:fldChar w:fldCharType="begin"/>
      </w:r>
      <w:r w:rsidRPr="002646EE">
        <w:rPr>
          <w:rFonts w:ascii="Times New Roman" w:eastAsia="Times New Roman" w:hAnsi="Times New Roman" w:cs="Times New Roman"/>
          <w:sz w:val="24"/>
          <w:szCs w:val="24"/>
          <w:lang w:eastAsia="en-IN"/>
        </w:rPr>
        <w:instrText xml:space="preserve"> ADDIN ZOTERO_ITEM CSL_CITATION {"citationID":"eadnuD33","properties":{"formattedCitation":"(Fatoumata et al., 2020)","plainCitation":"(Fatoumata et al., 2020)","noteIndex":0},"citationItems":[{"id":305,"uris":["http://zotero.org/users/local/Eg2UsBJR/items/2PTIKH5B"],"itemData":{"id":305,"type":"article-journal","container-title":"Journal of Diabetes and Endocrinology","DOI":"10.5897/JDE2019.0136","ISSN":"2141-2685","issue":"1","journalAbbreviation":"J. Diabetes Endocrinol.","page":"18-29","source":"DOI.org (Crossref)","title":"Antidiabetic properties of Moringa oleifera: A review of the literature","title-short":"Antidiabetic properties of Moringa oleifera","volume":"11","author":[{"family":"Fatoumata","given":"Ba."},{"family":"MamadouSaïdou","given":"Bah."},{"family":"Mohamet","given":"Sene"},{"family":"Joseph","given":"Koulanzo Sambou"},{"family":"Modou","given":"Mbacké Gueye"},{"family":"El","given":"HadjiMakhtar Ba"}],"issued":{"date-parts":[["2020",4,30]]}}}],"schema":"https://github.com/citation-style-language/schema/raw/master/csl-citation.json"} </w:instrText>
      </w:r>
      <w:r w:rsidRPr="002646EE">
        <w:rPr>
          <w:rFonts w:ascii="Times New Roman" w:eastAsia="Times New Roman" w:hAnsi="Times New Roman" w:cs="Times New Roman"/>
          <w:sz w:val="24"/>
          <w:szCs w:val="24"/>
          <w:lang w:eastAsia="en-IN"/>
        </w:rPr>
        <w:fldChar w:fldCharType="separate"/>
      </w:r>
      <w:r w:rsidRPr="002646EE">
        <w:rPr>
          <w:rFonts w:ascii="Times New Roman" w:hAnsi="Times New Roman" w:cs="Times New Roman"/>
          <w:sz w:val="24"/>
          <w:szCs w:val="24"/>
        </w:rPr>
        <w:t>(Fatoumata et al., 2020)</w:t>
      </w:r>
      <w:r w:rsidRPr="002646EE">
        <w:rPr>
          <w:rFonts w:ascii="Times New Roman" w:eastAsia="Times New Roman" w:hAnsi="Times New Roman" w:cs="Times New Roman"/>
          <w:sz w:val="24"/>
          <w:szCs w:val="24"/>
          <w:lang w:eastAsia="en-IN"/>
        </w:rPr>
        <w:fldChar w:fldCharType="end"/>
      </w:r>
      <w:r w:rsidRPr="002646EE">
        <w:rPr>
          <w:rFonts w:ascii="Times New Roman" w:eastAsia="Times New Roman" w:hAnsi="Times New Roman" w:cs="Times New Roman"/>
          <w:sz w:val="24"/>
          <w:szCs w:val="24"/>
          <w:lang w:eastAsia="en-IN"/>
        </w:rPr>
        <w:t>.</w:t>
      </w:r>
    </w:p>
    <w:p w:rsidR="00214CEF" w:rsidRPr="002646EE" w:rsidRDefault="00214CEF" w:rsidP="00E1701B">
      <w:pPr>
        <w:pStyle w:val="BodyText"/>
        <w:ind w:firstLine="0"/>
        <w:rPr>
          <w:rFonts w:ascii="Times New Roman" w:hAnsi="Times New Roman"/>
          <w:b/>
          <w:i/>
          <w:iCs/>
          <w:color w:val="000000"/>
          <w:sz w:val="24"/>
          <w:szCs w:val="24"/>
        </w:rPr>
      </w:pPr>
    </w:p>
    <w:p w:rsidR="00214CEF" w:rsidRPr="002646EE" w:rsidRDefault="00214CEF" w:rsidP="00E1701B">
      <w:pPr>
        <w:pStyle w:val="BodyText"/>
        <w:ind w:firstLine="0"/>
        <w:rPr>
          <w:rFonts w:ascii="Times New Roman" w:hAnsi="Times New Roman"/>
          <w:b/>
          <w:i/>
          <w:iCs/>
          <w:color w:val="000000"/>
          <w:sz w:val="24"/>
          <w:szCs w:val="24"/>
        </w:rPr>
      </w:pPr>
    </w:p>
    <w:p w:rsidR="00214CEF" w:rsidRPr="002646EE" w:rsidRDefault="00214CEF" w:rsidP="00E1701B">
      <w:pPr>
        <w:pStyle w:val="BodyText"/>
        <w:ind w:firstLine="0"/>
        <w:rPr>
          <w:rFonts w:ascii="Times New Roman" w:hAnsi="Times New Roman"/>
          <w:b/>
          <w:i/>
          <w:iCs/>
          <w:color w:val="000000"/>
          <w:sz w:val="24"/>
          <w:szCs w:val="24"/>
        </w:rPr>
      </w:pPr>
    </w:p>
    <w:p w:rsidR="00214CEF" w:rsidRPr="002646EE" w:rsidRDefault="00214CEF" w:rsidP="00E1701B">
      <w:pPr>
        <w:pStyle w:val="BodyText"/>
        <w:ind w:firstLine="0"/>
        <w:rPr>
          <w:rFonts w:ascii="Times New Roman" w:hAnsi="Times New Roman"/>
          <w:b/>
          <w:i/>
          <w:iCs/>
          <w:color w:val="000000"/>
          <w:sz w:val="24"/>
          <w:szCs w:val="24"/>
        </w:rPr>
      </w:pPr>
    </w:p>
    <w:p w:rsidR="00CB2BBE" w:rsidRPr="002646EE" w:rsidRDefault="00CB2BBE" w:rsidP="00E1701B">
      <w:pPr>
        <w:pStyle w:val="BodyText"/>
        <w:ind w:firstLine="0"/>
        <w:rPr>
          <w:rFonts w:ascii="Times New Roman" w:hAnsi="Times New Roman"/>
          <w:sz w:val="24"/>
          <w:szCs w:val="24"/>
          <w:lang w:eastAsia="en-IN"/>
        </w:rPr>
      </w:pPr>
      <w:r w:rsidRPr="002646EE">
        <w:rPr>
          <w:rFonts w:ascii="Times New Roman" w:hAnsi="Times New Roman"/>
          <w:b/>
          <w:i/>
          <w:iCs/>
          <w:color w:val="000000"/>
          <w:sz w:val="24"/>
          <w:szCs w:val="24"/>
        </w:rPr>
        <w:lastRenderedPageBreak/>
        <w:t xml:space="preserve">Darbha (Desmostachya bipinnata (L.) Stapf </w:t>
      </w:r>
      <w:r w:rsidRPr="002646EE">
        <w:rPr>
          <w:rFonts w:ascii="Times New Roman" w:hAnsi="Times New Roman"/>
          <w:b/>
          <w:sz w:val="24"/>
          <w:szCs w:val="24"/>
          <w:lang w:eastAsia="en-IN"/>
        </w:rPr>
        <w:t>)</w:t>
      </w:r>
    </w:p>
    <w:p w:rsidR="00CB2BBE" w:rsidRPr="002646EE" w:rsidRDefault="00CB2BBE" w:rsidP="00CB2BBE">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2646EE">
        <w:rPr>
          <w:rStyle w:val="NormalWebChar"/>
          <w:rFonts w:eastAsiaTheme="minorHAnsi"/>
        </w:rPr>
        <w:t xml:space="preserve">The ethanolic extract of the whole plant </w:t>
      </w:r>
      <w:r w:rsidRPr="002646EE">
        <w:rPr>
          <w:rFonts w:ascii="Times New Roman" w:eastAsia="Times New Roman" w:hAnsi="Times New Roman" w:cs="Times New Roman"/>
          <w:i/>
          <w:iCs/>
          <w:color w:val="000000"/>
          <w:sz w:val="24"/>
          <w:szCs w:val="24"/>
          <w:lang w:eastAsia="en-IN"/>
        </w:rPr>
        <w:t>Desmostachya bipinnata</w:t>
      </w:r>
      <w:r w:rsidRPr="002646EE">
        <w:rPr>
          <w:rStyle w:val="NormalWebChar"/>
          <w:rFonts w:eastAsiaTheme="minorHAnsi"/>
        </w:rPr>
        <w:t xml:space="preserve"> exhibits a hypoglycemic effect in alloxan-induced diabetic rats. This plant has beneficial effects on blood glucose levels in both normal and alloxan-induced diabetic rats. Additionally, the plant extracts significantly protect against various metabolic, physiological, and biochemical aberrations associated with diabetes</w:t>
      </w:r>
      <w:r w:rsidRPr="002646EE">
        <w:rPr>
          <w:rFonts w:ascii="Times New Roman" w:eastAsia="Times New Roman" w:hAnsi="Times New Roman" w:cs="Times New Roman"/>
          <w:sz w:val="24"/>
          <w:szCs w:val="24"/>
          <w:lang w:eastAsia="en-IN"/>
        </w:rPr>
        <w:fldChar w:fldCharType="begin"/>
      </w:r>
      <w:r w:rsidRPr="002646EE">
        <w:rPr>
          <w:rFonts w:ascii="Times New Roman" w:eastAsia="Times New Roman" w:hAnsi="Times New Roman" w:cs="Times New Roman"/>
          <w:sz w:val="24"/>
          <w:szCs w:val="24"/>
          <w:lang w:eastAsia="en-IN"/>
        </w:rPr>
        <w:instrText xml:space="preserve"> ADDIN ZOTERO_ITEM CSL_CITATION {"citationID":"YjOyeC84","properties":{"formattedCitation":"(Babu Sajja &amp; Bhaskari D, 2015)","plainCitation":"(Babu Sajja &amp; Bhaskari D, 2015)","noteIndex":0},"citationItems":[{"id":307,"uris":["http://zotero.org/users/local/Eg2UsBJR/items/WSB3WBNA"],"itemData":{"id":307,"type":"article-journal","ISSN":"ISSN 2278 – 4357","journalAbbreviation":"WORLD JOURNAL OF PHARMACY AND PHARMACEUTICAL SCIENCES","title":"EVALUATION OF ANTI-DIABETIC ACTIVITY OF ETHANOLIC EXTRACT OF DESMOSTACHYA BIPINNATA ON ALLOXAN INDUCED DIABETES IN RATS","volume":"Volume 4, Issue 06, 902-911","author":[{"family":"Babu Sajja","given":"Ravindra"},{"family":"Bhaskari D","given":"Sraddha"}],"issued":{"date-parts":[["2015",5,22]]}}}],"schema":"https://github.com/citation-style-language/schema/raw/master/csl-citation.json"} </w:instrText>
      </w:r>
      <w:r w:rsidRPr="002646EE">
        <w:rPr>
          <w:rFonts w:ascii="Times New Roman" w:eastAsia="Times New Roman" w:hAnsi="Times New Roman" w:cs="Times New Roman"/>
          <w:sz w:val="24"/>
          <w:szCs w:val="24"/>
          <w:lang w:eastAsia="en-IN"/>
        </w:rPr>
        <w:fldChar w:fldCharType="separate"/>
      </w:r>
      <w:r w:rsidRPr="002646EE">
        <w:rPr>
          <w:rFonts w:ascii="Times New Roman" w:hAnsi="Times New Roman" w:cs="Times New Roman"/>
          <w:sz w:val="24"/>
          <w:szCs w:val="24"/>
        </w:rPr>
        <w:t>(Babu Sajja &amp; Bhaskari D, 2015)</w:t>
      </w:r>
      <w:r w:rsidRPr="002646EE">
        <w:rPr>
          <w:rFonts w:ascii="Times New Roman" w:eastAsia="Times New Roman" w:hAnsi="Times New Roman" w:cs="Times New Roman"/>
          <w:sz w:val="24"/>
          <w:szCs w:val="24"/>
          <w:lang w:eastAsia="en-IN"/>
        </w:rPr>
        <w:fldChar w:fldCharType="end"/>
      </w:r>
      <w:r w:rsidRPr="002646EE">
        <w:rPr>
          <w:rFonts w:ascii="Times New Roman" w:eastAsia="Times New Roman" w:hAnsi="Times New Roman" w:cs="Times New Roman"/>
          <w:sz w:val="24"/>
          <w:szCs w:val="24"/>
          <w:lang w:eastAsia="en-IN"/>
        </w:rPr>
        <w:t>.</w:t>
      </w:r>
    </w:p>
    <w:p w:rsidR="00CB2BBE" w:rsidRPr="002646EE" w:rsidRDefault="00CB2BBE" w:rsidP="00CB2BBE">
      <w:pPr>
        <w:spacing w:before="100" w:beforeAutospacing="1" w:after="100" w:afterAutospacing="1" w:line="360" w:lineRule="auto"/>
        <w:jc w:val="both"/>
        <w:rPr>
          <w:rFonts w:ascii="Times New Roman" w:eastAsia="Times New Roman" w:hAnsi="Times New Roman" w:cs="Times New Roman"/>
          <w:b/>
          <w:i/>
          <w:sz w:val="24"/>
          <w:szCs w:val="24"/>
          <w:lang w:eastAsia="en-IN"/>
        </w:rPr>
      </w:pPr>
      <w:r w:rsidRPr="002646EE">
        <w:rPr>
          <w:rFonts w:ascii="Times New Roman" w:eastAsia="Times New Roman" w:hAnsi="Times New Roman" w:cs="Times New Roman"/>
          <w:b/>
          <w:i/>
          <w:sz w:val="24"/>
          <w:szCs w:val="24"/>
          <w:lang w:eastAsia="en-IN"/>
        </w:rPr>
        <w:t>Bhallataka(Semicarpus anacardium)</w:t>
      </w:r>
    </w:p>
    <w:p w:rsidR="00CB2BBE" w:rsidRPr="002646EE" w:rsidRDefault="00CB2BBE" w:rsidP="00CB2BB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646EE">
        <w:rPr>
          <w:rStyle w:val="NormalWebChar"/>
          <w:rFonts w:eastAsiaTheme="minorHAnsi"/>
        </w:rPr>
        <w:t xml:space="preserve">Normal rats treated with ethanolic extracts of </w:t>
      </w:r>
      <w:r w:rsidRPr="002646EE">
        <w:rPr>
          <w:rFonts w:ascii="Times New Roman" w:eastAsia="Times New Roman" w:hAnsi="Times New Roman" w:cs="Times New Roman"/>
          <w:i/>
          <w:iCs/>
          <w:color w:val="000000"/>
          <w:sz w:val="24"/>
          <w:szCs w:val="24"/>
          <w:lang w:eastAsia="en-IN"/>
        </w:rPr>
        <w:t>Semicarpus anacardium</w:t>
      </w:r>
      <w:r w:rsidRPr="002646EE">
        <w:rPr>
          <w:rStyle w:val="NormalWebChar"/>
          <w:rFonts w:eastAsiaTheme="minorHAnsi"/>
        </w:rPr>
        <w:t xml:space="preserve"> experienced a decrease in blood glucose levels. Diabetic rats treated with the extract showed a significant reduction in blood glucose levels.. Plasma insulin levels in the diabetic group were significantly lower than in the normal group. However, treatment with Semicarpus anacardium extract led to a significant increase in insulin levels in diabetic rats. In normal rats, the ethanolic extract caused a slight increase in insulin levels</w:t>
      </w:r>
      <w:r w:rsidRPr="002646EE">
        <w:rPr>
          <w:rFonts w:ascii="Times New Roman" w:eastAsia="Times New Roman" w:hAnsi="Times New Roman" w:cs="Times New Roman"/>
          <w:sz w:val="24"/>
          <w:szCs w:val="24"/>
          <w:lang w:eastAsia="en-IN"/>
        </w:rPr>
        <w:fldChar w:fldCharType="begin"/>
      </w:r>
      <w:r w:rsidRPr="002646EE">
        <w:rPr>
          <w:rFonts w:ascii="Times New Roman" w:eastAsia="Times New Roman" w:hAnsi="Times New Roman" w:cs="Times New Roman"/>
          <w:sz w:val="24"/>
          <w:szCs w:val="24"/>
          <w:lang w:eastAsia="en-IN"/>
        </w:rPr>
        <w:instrText xml:space="preserve"> ADDIN ZOTERO_ITEM CSL_CITATION {"citationID":"hnghHVVb","properties":{"formattedCitation":"(Kothai et al., 2005)","plainCitation":"(Kothai et al., 2005)","noteIndex":0},"citationItems":[{"id":308,"uris":["http://zotero.org/users/local/Eg2UsBJR/items/TCLBDEIU"],"itemData":{"id":308,"type":"article-journal","container-title":"Journal of Herbal Pharmacotherapy","DOI":"10.1080/J157v05n02_05","ISSN":"1522-8940, 1522-9106","issue":"2","journalAbbreviation":"Journal of Herbal Pharmacotherapy","language":"en","page":"49-56","source":"DOI.org (Crossref)","title":"Hypoglycemic and Antihyperglycemic Effect of &lt;i&gt;Semecarpus anacardium&lt;/i&gt; Linn in Normal and Alloxan-Induced Diabetic Rats","volume":"5","author":[{"family":"Kothai","given":"R."},{"family":"Arul","given":"B."},{"family":"Kumar","given":"K. Suresh"},{"family":"Christina","given":"A. J. M."}],"issued":{"date-parts":[["2005",1]]}}}],"schema":"https://github.com/citation-style-language/schema/raw/master/csl-citation.json"} </w:instrText>
      </w:r>
      <w:r w:rsidRPr="002646EE">
        <w:rPr>
          <w:rFonts w:ascii="Times New Roman" w:eastAsia="Times New Roman" w:hAnsi="Times New Roman" w:cs="Times New Roman"/>
          <w:sz w:val="24"/>
          <w:szCs w:val="24"/>
          <w:lang w:eastAsia="en-IN"/>
        </w:rPr>
        <w:fldChar w:fldCharType="separate"/>
      </w:r>
      <w:r w:rsidRPr="002646EE">
        <w:rPr>
          <w:rFonts w:ascii="Times New Roman" w:hAnsi="Times New Roman" w:cs="Times New Roman"/>
          <w:sz w:val="24"/>
          <w:szCs w:val="24"/>
        </w:rPr>
        <w:t>(Kothai et al., 2005)</w:t>
      </w:r>
      <w:r w:rsidRPr="002646EE">
        <w:rPr>
          <w:rFonts w:ascii="Times New Roman" w:eastAsia="Times New Roman" w:hAnsi="Times New Roman" w:cs="Times New Roman"/>
          <w:sz w:val="24"/>
          <w:szCs w:val="24"/>
          <w:lang w:eastAsia="en-IN"/>
        </w:rPr>
        <w:fldChar w:fldCharType="end"/>
      </w:r>
      <w:r w:rsidRPr="002646EE">
        <w:rPr>
          <w:rFonts w:ascii="Times New Roman" w:eastAsia="Times New Roman" w:hAnsi="Times New Roman" w:cs="Times New Roman"/>
          <w:sz w:val="24"/>
          <w:szCs w:val="24"/>
          <w:lang w:eastAsia="en-IN"/>
        </w:rPr>
        <w:t>.</w:t>
      </w:r>
    </w:p>
    <w:p w:rsidR="00CB2BBE" w:rsidRPr="002646EE" w:rsidRDefault="00CB2BBE" w:rsidP="009B1DD2">
      <w:pPr>
        <w:spacing w:line="360" w:lineRule="auto"/>
        <w:jc w:val="both"/>
        <w:rPr>
          <w:rFonts w:ascii="Times New Roman" w:hAnsi="Times New Roman" w:cs="Times New Roman"/>
          <w:color w:val="333333"/>
          <w:sz w:val="24"/>
          <w:szCs w:val="24"/>
          <w:bdr w:val="none" w:sz="0" w:space="0" w:color="auto" w:frame="1"/>
        </w:rPr>
      </w:pPr>
      <w:r w:rsidRPr="002646EE">
        <w:rPr>
          <w:rStyle w:val="NormalWebChar"/>
          <w:rFonts w:eastAsiaTheme="minorHAnsi"/>
          <w:i/>
        </w:rPr>
        <w:t xml:space="preserve">Nishakathakadi </w:t>
      </w:r>
      <w:r w:rsidRPr="002646EE">
        <w:rPr>
          <w:rStyle w:val="NormalWebChar"/>
          <w:rFonts w:eastAsiaTheme="minorHAnsi"/>
        </w:rPr>
        <w:t xml:space="preserve">and </w:t>
      </w:r>
      <w:r w:rsidRPr="002646EE">
        <w:rPr>
          <w:rStyle w:val="NormalWebChar"/>
          <w:rFonts w:eastAsiaTheme="minorHAnsi"/>
          <w:i/>
        </w:rPr>
        <w:t>varanadi kashayam</w:t>
      </w:r>
      <w:r w:rsidRPr="002646EE">
        <w:rPr>
          <w:rStyle w:val="NormalWebChar"/>
          <w:rFonts w:eastAsiaTheme="minorHAnsi"/>
        </w:rPr>
        <w:t xml:space="preserve"> are two polyherbal formulations prescribed for the clinical management of diabetes and associated comorbidities. Both formulations have shown positive results  in the management of diabetes. As above mentioned each ingredient of both the formulations are showing anti-diabetic activity as per the literature</w:t>
      </w:r>
      <w:r w:rsidRPr="002646EE">
        <w:rPr>
          <w:rStyle w:val="NormalWebChar"/>
          <w:rFonts w:eastAsia="ArialMT"/>
        </w:rPr>
        <w:t xml:space="preserve">  </w:t>
      </w:r>
      <w:r w:rsidRPr="002646EE">
        <w:rPr>
          <w:rStyle w:val="NormalWebChar"/>
          <w:rFonts w:eastAsiaTheme="minorHAnsi"/>
        </w:rPr>
        <w:t>Mainly focusing on the fate, activities and pathways altered in diabetic-associated genes . From previous studies, we have found 23 and 16 diabetic-associated genes (Thottappillil et al., 2023). Some phytochemicals of these two anti-diabetic polyher</w:t>
      </w:r>
      <w:r w:rsidRPr="002646EE">
        <w:rPr>
          <w:rStyle w:val="NormalWebChar"/>
          <w:rFonts w:eastAsia="ArialMT"/>
        </w:rPr>
        <w:t>bal formulations, NK and VA</w:t>
      </w:r>
      <w:r w:rsidRPr="002646EE">
        <w:rPr>
          <w:rStyle w:val="NormalWebChar"/>
          <w:rFonts w:eastAsiaTheme="minorHAnsi"/>
        </w:rPr>
        <w:t>, have been shown to target these 26 diabetic-associated genes. Here, some phytochemicals o</w:t>
      </w:r>
      <w:r w:rsidRPr="002646EE">
        <w:rPr>
          <w:rStyle w:val="NormalWebChar"/>
          <w:rFonts w:eastAsia="ArialMT"/>
        </w:rPr>
        <w:t>f NK target 23 diabetic-associated genes, while VA targets 16 genes. By analyzing the previous studies and dat</w:t>
      </w:r>
      <w:r w:rsidR="007B0ADC">
        <w:rPr>
          <w:rStyle w:val="NormalWebChar"/>
          <w:rFonts w:eastAsia="ArialMT"/>
        </w:rPr>
        <w:t xml:space="preserve">a, it has been found that among </w:t>
      </w:r>
      <w:r w:rsidRPr="002646EE">
        <w:rPr>
          <w:rStyle w:val="NormalWebChar"/>
          <w:rFonts w:eastAsia="ArialMT"/>
        </w:rPr>
        <w:t>23 and 16 diabetic- associated genes. 13 genes are common gene targets, for NK and VA, 10 genes are exclusively targeted by the NK, and 3 genes are exclusively targeted by the VA</w:t>
      </w:r>
      <w:r w:rsidRPr="002646EE">
        <w:rPr>
          <w:rStyle w:val="NormalWebChar"/>
          <w:rFonts w:eastAsiaTheme="minorHAnsi"/>
        </w:rPr>
        <w:t>.</w:t>
      </w:r>
      <w:r w:rsidRPr="002646EE">
        <w:rPr>
          <w:rFonts w:ascii="Times New Roman" w:hAnsi="Times New Roman" w:cs="Times New Roman"/>
          <w:color w:val="333333"/>
          <w:sz w:val="24"/>
          <w:szCs w:val="24"/>
          <w:bdr w:val="none" w:sz="0" w:space="0" w:color="auto" w:frame="1"/>
        </w:rPr>
        <w:t xml:space="preserve"> In the present lab it has been found out </w:t>
      </w:r>
      <w:r w:rsidRPr="002646EE">
        <w:rPr>
          <w:rFonts w:ascii="Times New Roman" w:hAnsi="Times New Roman" w:cs="Times New Roman"/>
          <w:sz w:val="24"/>
          <w:szCs w:val="24"/>
        </w:rPr>
        <w:t xml:space="preserve"> </w:t>
      </w:r>
      <w:r w:rsidRPr="002646EE">
        <w:rPr>
          <w:rFonts w:ascii="Times New Roman" w:hAnsi="Times New Roman" w:cs="Times New Roman"/>
          <w:bCs/>
          <w:iCs/>
          <w:color w:val="000000" w:themeColor="text1"/>
          <w:sz w:val="24"/>
          <w:szCs w:val="24"/>
        </w:rPr>
        <w:t>NK</w:t>
      </w:r>
      <w:r w:rsidR="00976471" w:rsidRPr="002646EE">
        <w:rPr>
          <w:rFonts w:ascii="Times New Roman" w:hAnsi="Times New Roman" w:cs="Times New Roman"/>
          <w:bCs/>
          <w:iCs/>
          <w:color w:val="000000" w:themeColor="text1"/>
          <w:sz w:val="24"/>
          <w:szCs w:val="24"/>
        </w:rPr>
        <w:t xml:space="preserve"> and VA</w:t>
      </w:r>
      <w:r w:rsidRPr="002646EE">
        <w:rPr>
          <w:rFonts w:ascii="Times New Roman" w:hAnsi="Times New Roman" w:cs="Times New Roman"/>
          <w:bCs/>
          <w:iCs/>
          <w:color w:val="000000" w:themeColor="text1"/>
          <w:sz w:val="24"/>
          <w:szCs w:val="24"/>
        </w:rPr>
        <w:t xml:space="preserve"> inhibits DPP4 dose-dependently in vitro as well as enhances GLP1 secretion from an intestinal cell line GLUTag</w:t>
      </w:r>
      <w:r w:rsidRPr="002646EE">
        <w:rPr>
          <w:rFonts w:ascii="Times New Roman" w:hAnsi="Times New Roman" w:cs="Times New Roman"/>
          <w:color w:val="333333"/>
          <w:sz w:val="24"/>
          <w:szCs w:val="24"/>
          <w:bdr w:val="none" w:sz="0" w:space="0" w:color="auto" w:frame="1"/>
        </w:rPr>
        <w:t xml:space="preserve">, </w:t>
      </w:r>
      <w:r w:rsidRPr="002646EE">
        <w:rPr>
          <w:rFonts w:ascii="Times New Roman" w:hAnsi="Times New Roman" w:cs="Times New Roman"/>
          <w:bCs/>
          <w:iCs/>
          <w:color w:val="000000" w:themeColor="text1"/>
          <w:sz w:val="24"/>
          <w:szCs w:val="24"/>
        </w:rPr>
        <w:t>target mapping of phytochemicals of both the formulation was done</w:t>
      </w:r>
      <w:r w:rsidRPr="002646EE">
        <w:rPr>
          <w:rFonts w:ascii="Times New Roman" w:hAnsi="Times New Roman" w:cs="Times New Roman"/>
          <w:color w:val="000000" w:themeColor="text1"/>
          <w:sz w:val="24"/>
          <w:szCs w:val="24"/>
          <w:bdr w:val="none" w:sz="0" w:space="0" w:color="auto" w:frame="1"/>
        </w:rPr>
        <w:t>.</w:t>
      </w:r>
      <w:r w:rsidRPr="002646EE">
        <w:rPr>
          <w:rFonts w:ascii="Times New Roman" w:hAnsi="Times New Roman" w:cs="Times New Roman"/>
          <w:color w:val="333333"/>
          <w:sz w:val="24"/>
          <w:szCs w:val="24"/>
          <w:bdr w:val="none" w:sz="0" w:space="0" w:color="auto" w:frame="1"/>
        </w:rPr>
        <w:t>The present  study is trying to investigate the viability of intestinal cell lines in different concentrations of both formulations and which classes of phytochemicals of both formulations is targeting diabetic-associated genes and  Gene ontology, and enrichment analysis of diabetic-associated genes targeted by NK and VA.</w:t>
      </w:r>
    </w:p>
    <w:p w:rsidR="00CB2BBE" w:rsidRPr="002646EE" w:rsidRDefault="00CB2BBE" w:rsidP="004912F4">
      <w:pPr>
        <w:pStyle w:val="Heading1"/>
        <w:rPr>
          <w:rStyle w:val="DefaultChar"/>
          <w:rFonts w:ascii="Times New Roman" w:hAnsi="Times New Roman" w:cs="Times New Roman"/>
        </w:rPr>
      </w:pPr>
    </w:p>
    <w:p w:rsidR="00CB2BBE" w:rsidRPr="002646EE" w:rsidRDefault="00CB2BBE" w:rsidP="00C936A3">
      <w:pPr>
        <w:pStyle w:val="Heading1"/>
        <w:jc w:val="left"/>
      </w:pPr>
      <w:bookmarkStart w:id="14" w:name="_Toc171420543"/>
      <w:r w:rsidRPr="002646EE">
        <w:t>2.Material and methods</w:t>
      </w:r>
      <w:bookmarkEnd w:id="14"/>
    </w:p>
    <w:p w:rsidR="00CB2BBE" w:rsidRPr="002646EE" w:rsidRDefault="00CB2BBE" w:rsidP="002D6B34">
      <w:pPr>
        <w:pStyle w:val="Heading2"/>
        <w:rPr>
          <w:u w:val="single"/>
        </w:rPr>
      </w:pPr>
      <w:bookmarkStart w:id="15" w:name="_Toc171420544"/>
      <w:r w:rsidRPr="002646EE">
        <w:t>2.1 Classification of phytochemicals of NK and VA</w:t>
      </w:r>
      <w:bookmarkEnd w:id="15"/>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u w:val="single"/>
        </w:rPr>
      </w:pPr>
    </w:p>
    <w:p w:rsidR="00CB2BBE" w:rsidRPr="002646EE" w:rsidRDefault="00CB2BBE" w:rsidP="00CB2BBE">
      <w:pPr>
        <w:autoSpaceDE w:val="0"/>
        <w:autoSpaceDN w:val="0"/>
        <w:adjustRightInd w:val="0"/>
        <w:spacing w:after="0" w:line="360" w:lineRule="auto"/>
        <w:jc w:val="both"/>
        <w:rPr>
          <w:rFonts w:ascii="Times New Roman" w:hAnsi="Times New Roman" w:cs="Times New Roman"/>
          <w:color w:val="0000FF"/>
          <w:sz w:val="24"/>
          <w:szCs w:val="24"/>
        </w:rPr>
      </w:pPr>
      <w:r w:rsidRPr="002646EE">
        <w:rPr>
          <w:rStyle w:val="NormalWebChar"/>
          <w:rFonts w:eastAsia="ArialMT"/>
        </w:rPr>
        <w:t>Classification of phytochemicals was done using the tool classyfire.</w:t>
      </w:r>
      <w:r w:rsidRPr="002646EE">
        <w:rPr>
          <w:rFonts w:ascii="Times New Roman" w:eastAsia="ArialMT" w:hAnsi="Times New Roman" w:cs="Times New Roman"/>
          <w:sz w:val="24"/>
          <w:szCs w:val="24"/>
        </w:rPr>
        <w:fldChar w:fldCharType="begin"/>
      </w:r>
      <w:r w:rsidRPr="002646EE">
        <w:rPr>
          <w:rFonts w:ascii="Times New Roman" w:eastAsia="ArialMT" w:hAnsi="Times New Roman" w:cs="Times New Roman"/>
          <w:sz w:val="24"/>
          <w:szCs w:val="24"/>
        </w:rPr>
        <w:instrText xml:space="preserve"> ADDIN ZOTERO_ITEM CSL_CITATION {"citationID":"TmJ87Qg2","properties":{"formattedCitation":"(Djoumbou Feunang et al., 2016)","plainCitation":"(Djoumbou Feunang et al., 2016)","noteIndex":0},"citationItems":[{"id":207,"uris":["http://zotero.org/users/local/Eg2UsBJR/items/RX43585S"],"itemData":{"id":207,"type":"article-journal","container-title":"Journal of Cheminformatics","DOI":"10.1186/s13321-016-0174-y","ISSN":"1758-2946","issue":"1","journalAbbreviation":"J Cheminform","language":"en","page":"61","source":"DOI.org (Crossref)","title":"ClassyFire: automated chemical classification with a comprehensive, computable taxonomy","title-short":"ClassyFire","volume":"8","author":[{"family":"Djoumbou Feunang","given":"Yannick"},{"family":"Eisner","given":"Roman"},{"family":"Knox","given":"Craig"},{"family":"Chepelev","given":"Leonid"},{"family":"Hastings","given":"Janna"},{"family":"Owen","given":"Gareth"},{"family":"Fahy","given":"Eoin"},{"family":"Steinbeck","given":"Christoph"},{"family":"Subramanian","given":"Shankar"},{"family":"Bolton","given":"Evan"},{"family":"Greiner","given":"Russell"},{"family":"Wishart","given":"David S."}],"issued":{"date-parts":[["2016",12]]}}}],"schema":"https://github.com/citation-style-language/schema/raw/master/csl-citation.json"} </w:instrText>
      </w:r>
      <w:r w:rsidRPr="002646EE">
        <w:rPr>
          <w:rFonts w:ascii="Times New Roman" w:eastAsia="ArialMT" w:hAnsi="Times New Roman" w:cs="Times New Roman"/>
          <w:sz w:val="24"/>
          <w:szCs w:val="24"/>
        </w:rPr>
        <w:fldChar w:fldCharType="separate"/>
      </w:r>
      <w:r w:rsidRPr="002646EE">
        <w:rPr>
          <w:rFonts w:ascii="Times New Roman" w:hAnsi="Times New Roman" w:cs="Times New Roman"/>
          <w:sz w:val="24"/>
          <w:szCs w:val="24"/>
        </w:rPr>
        <w:t>(Djoumbou Feunang et al., 2016)</w:t>
      </w:r>
      <w:r w:rsidRPr="002646EE">
        <w:rPr>
          <w:rFonts w:ascii="Times New Roman" w:eastAsia="ArialMT" w:hAnsi="Times New Roman" w:cs="Times New Roman"/>
          <w:sz w:val="24"/>
          <w:szCs w:val="24"/>
        </w:rPr>
        <w:fldChar w:fldCharType="end"/>
      </w:r>
      <w:r w:rsidRPr="002646EE">
        <w:rPr>
          <w:rFonts w:ascii="Times New Roman" w:hAnsi="Times New Roman" w:cs="Times New Roman"/>
          <w:sz w:val="24"/>
          <w:szCs w:val="24"/>
        </w:rPr>
        <w:t xml:space="preserve"> </w:t>
      </w:r>
      <w:hyperlink r:id="rId14" w:history="1">
        <w:r w:rsidRPr="002646EE">
          <w:rPr>
            <w:rStyle w:val="Hyperlink"/>
            <w:rFonts w:ascii="Times New Roman" w:hAnsi="Times New Roman" w:cs="Times New Roman"/>
            <w:sz w:val="24"/>
            <w:szCs w:val="24"/>
          </w:rPr>
          <w:t>http://classyfire.wishartlab.com</w:t>
        </w:r>
      </w:hyperlink>
      <w:r w:rsidRPr="002646EE">
        <w:rPr>
          <w:rFonts w:ascii="Times New Roman" w:hAnsi="Times New Roman" w:cs="Times New Roman"/>
          <w:color w:val="0000FF"/>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hAnsi="Times New Roman" w:cs="Times New Roman"/>
          <w:color w:val="000000" w:themeColor="text1"/>
          <w:sz w:val="24"/>
          <w:szCs w:val="24"/>
        </w:rPr>
        <w:t>Open the above-mentioned website</w:t>
      </w:r>
      <w:r w:rsidRPr="002646EE">
        <w:rPr>
          <w:rFonts w:ascii="Times New Roman" w:eastAsia="ArialMT" w:hAnsi="Times New Roman" w:cs="Times New Roman"/>
          <w:color w:val="000000" w:themeColor="text1"/>
          <w:sz w:val="24"/>
          <w:szCs w:val="24"/>
        </w:rPr>
        <w:t>. Upload the input as canonical SMILES of each phytochemical which was collected from Pubchem. Total input allowed to upload was 60 SMILES (This varies depending upon the upgradation of the website.  Once input is uploaded download the file in SDF format to get the classification of uploaded inputs.</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The obtained classification included kingdom, superclass, class, and subclass. The above information was copied into Microsoft Excel. Only the classes of phytochemicals sorted manually in Excel. Further, sorted which phytochemicals come under which classes. Duplicates of phytochemicals were removed and filtered.</w:t>
      </w:r>
    </w:p>
    <w:p w:rsidR="00CB2BBE" w:rsidRPr="002646EE" w:rsidRDefault="00CB2BBE" w:rsidP="00CB2BBE">
      <w:pPr>
        <w:spacing w:after="0" w:line="360" w:lineRule="auto"/>
        <w:jc w:val="both"/>
        <w:rPr>
          <w:rFonts w:ascii="Times New Roman" w:eastAsia="ArialMT" w:hAnsi="Times New Roman" w:cs="Times New Roman"/>
          <w:b/>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r w:rsidRPr="002646EE">
        <w:rPr>
          <w:rFonts w:ascii="Times New Roman" w:eastAsia="ArialMT" w:hAnsi="Times New Roman" w:cs="Times New Roman"/>
          <w:noProof/>
          <w:color w:val="000000" w:themeColor="text1"/>
          <w:sz w:val="24"/>
          <w:szCs w:val="24"/>
          <w:lang w:eastAsia="en-IN"/>
        </w:rPr>
        <w:drawing>
          <wp:inline distT="0" distB="0" distL="0" distR="0" wp14:anchorId="278F94F7" wp14:editId="4A5293DC">
            <wp:extent cx="5040000" cy="3612211"/>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5-27 at 16.47.49.jpeg"/>
                    <pic:cNvPicPr/>
                  </pic:nvPicPr>
                  <pic:blipFill>
                    <a:blip r:embed="rId15">
                      <a:extLst>
                        <a:ext uri="{28A0092B-C50C-407E-A947-70E740481C1C}">
                          <a14:useLocalDpi xmlns:a14="http://schemas.microsoft.com/office/drawing/2010/main" val="0"/>
                        </a:ext>
                      </a:extLst>
                    </a:blip>
                    <a:stretch>
                      <a:fillRect/>
                    </a:stretch>
                  </pic:blipFill>
                  <pic:spPr>
                    <a:xfrm>
                      <a:off x="0" y="0"/>
                      <a:ext cx="5040000" cy="3612211"/>
                    </a:xfrm>
                    <a:prstGeom prst="rect">
                      <a:avLst/>
                    </a:prstGeom>
                  </pic:spPr>
                </pic:pic>
              </a:graphicData>
            </a:graphic>
          </wp:inline>
        </w:drawing>
      </w:r>
      <w:r w:rsidR="00282C9E">
        <w:rPr>
          <w:rFonts w:ascii="Times New Roman" w:eastAsia="ArialMT" w:hAnsi="Times New Roman" w:cs="Times New Roman"/>
          <w:color w:val="000000" w:themeColor="text1"/>
          <w:sz w:val="24"/>
          <w:szCs w:val="24"/>
        </w:rPr>
        <w:t xml:space="preserve"> </w:t>
      </w:r>
    </w:p>
    <w:p w:rsidR="00CB2BBE" w:rsidRPr="002646EE" w:rsidRDefault="0073253F"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r w:rsidRPr="002646EE">
        <w:rPr>
          <w:rFonts w:ascii="Times New Roman" w:eastAsia="ArialMT" w:hAnsi="Times New Roman" w:cs="Times New Roman"/>
          <w:b/>
          <w:bCs/>
          <w:color w:val="000000" w:themeColor="text1"/>
          <w:sz w:val="24"/>
          <w:szCs w:val="24"/>
        </w:rPr>
        <w:t xml:space="preserve">          </w:t>
      </w:r>
      <w:r w:rsidR="00CB2BBE" w:rsidRPr="002646EE">
        <w:rPr>
          <w:rFonts w:ascii="Times New Roman" w:eastAsia="ArialMT" w:hAnsi="Times New Roman" w:cs="Times New Roman"/>
          <w:b/>
          <w:bCs/>
          <w:color w:val="000000" w:themeColor="text1"/>
          <w:sz w:val="24"/>
          <w:szCs w:val="24"/>
        </w:rPr>
        <w:t xml:space="preserve"> </w:t>
      </w:r>
      <w:r w:rsidRPr="002646EE">
        <w:rPr>
          <w:rFonts w:ascii="Times New Roman" w:eastAsia="ArialMT" w:hAnsi="Times New Roman" w:cs="Times New Roman"/>
          <w:b/>
          <w:bCs/>
          <w:color w:val="000000" w:themeColor="text1"/>
          <w:sz w:val="24"/>
          <w:szCs w:val="24"/>
        </w:rPr>
        <w:t>FIGURE 1.</w:t>
      </w:r>
      <w:r w:rsidRPr="002646EE">
        <w:rPr>
          <w:rFonts w:ascii="Times New Roman" w:eastAsia="ArialMT" w:hAnsi="Times New Roman" w:cs="Times New Roman"/>
          <w:color w:val="000000" w:themeColor="text1"/>
          <w:sz w:val="24"/>
          <w:szCs w:val="24"/>
        </w:rPr>
        <w:t xml:space="preserve"> </w:t>
      </w:r>
      <w:r w:rsidR="00CB2BBE" w:rsidRPr="002646EE">
        <w:rPr>
          <w:rFonts w:ascii="Times New Roman" w:eastAsia="ArialMT" w:hAnsi="Times New Roman" w:cs="Times New Roman"/>
          <w:color w:val="000000" w:themeColor="text1"/>
          <w:sz w:val="24"/>
          <w:szCs w:val="24"/>
        </w:rPr>
        <w:t xml:space="preserve"> Format of input given to extract the classification</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 xml:space="preserve">                                                                                 </w:t>
      </w:r>
      <w:r w:rsidRPr="002646EE">
        <w:rPr>
          <w:rFonts w:ascii="Times New Roman" w:eastAsia="ArialMT" w:hAnsi="Times New Roman" w:cs="Times New Roman"/>
          <w:color w:val="000000" w:themeColor="text1"/>
          <w:sz w:val="24"/>
          <w:szCs w:val="24"/>
        </w:rPr>
        <w:fldChar w:fldCharType="begin"/>
      </w:r>
      <w:r w:rsidRPr="002646EE">
        <w:rPr>
          <w:rFonts w:ascii="Times New Roman" w:eastAsia="ArialMT" w:hAnsi="Times New Roman" w:cs="Times New Roman"/>
          <w:color w:val="000000" w:themeColor="text1"/>
          <w:sz w:val="24"/>
          <w:szCs w:val="24"/>
        </w:rPr>
        <w:instrText xml:space="preserve"> ADDIN ZOTERO_ITEM CSL_CITATION {"citationID":"yVIvqiBJ","properties":{"formattedCitation":"(Djoumbou Feunang et al., 2016)","plainCitation":"(Djoumbou Feunang et al., 2016)","noteIndex":0},"citationItems":[{"id":207,"uris":["http://zotero.org/users/local/Eg2UsBJR/items/RX43585S"],"itemData":{"id":207,"type":"article-journal","container-title":"Journal of Cheminformatics","DOI":"10.1186/s13321-016-0174-y","ISSN":"1758-2946","issue":"1","journalAbbreviation":"J Cheminform","language":"en","page":"61","source":"DOI.org (Crossref)","title":"ClassyFire: automated chemical classification with a comprehensive, computable taxonomy","title-short":"ClassyFire","volume":"8","author":[{"family":"Djoumbou Feunang","given":"Yannick"},{"family":"Eisner","given":"Roman"},{"family":"Knox","given":"Craig"},{"family":"Chepelev","given":"Leonid"},{"family":"Hastings","given":"Janna"},{"family":"Owen","given":"Gareth"},{"family":"Fahy","given":"Eoin"},{"family":"Steinbeck","given":"Christoph"},{"family":"Subramanian","given":"Shankar"},{"family":"Bolton","given":"Evan"},{"family":"Greiner","given":"Russell"},{"family":"Wishart","given":"David S."}],"issued":{"date-parts":[["2016",12]]}}}],"schema":"https://github.com/citation-style-language/schema/raw/master/csl-citation.json"} </w:instrText>
      </w:r>
      <w:r w:rsidRPr="002646EE">
        <w:rPr>
          <w:rFonts w:ascii="Times New Roman" w:eastAsia="ArialMT" w:hAnsi="Times New Roman" w:cs="Times New Roman"/>
          <w:color w:val="000000" w:themeColor="text1"/>
          <w:sz w:val="24"/>
          <w:szCs w:val="24"/>
        </w:rPr>
        <w:fldChar w:fldCharType="separate"/>
      </w:r>
      <w:r w:rsidRPr="002646EE">
        <w:rPr>
          <w:rFonts w:ascii="Times New Roman" w:hAnsi="Times New Roman" w:cs="Times New Roman"/>
          <w:sz w:val="24"/>
          <w:szCs w:val="24"/>
        </w:rPr>
        <w:t>(Djoumbou Feunang et al., 2016)</w:t>
      </w:r>
      <w:r w:rsidRPr="002646EE">
        <w:rPr>
          <w:rFonts w:ascii="Times New Roman" w:eastAsia="ArialMT" w:hAnsi="Times New Roman" w:cs="Times New Roman"/>
          <w:color w:val="000000" w:themeColor="text1"/>
          <w:sz w:val="24"/>
          <w:szCs w:val="24"/>
        </w:rPr>
        <w:fldChar w:fldCharType="end"/>
      </w:r>
      <w:r w:rsidRPr="002646EE">
        <w:rPr>
          <w:rFonts w:ascii="Times New Roman" w:eastAsia="ArialMT" w:hAnsi="Times New Roman" w:cs="Times New Roman"/>
          <w:color w:val="000000" w:themeColor="text1"/>
          <w:sz w:val="24"/>
          <w:szCs w:val="24"/>
        </w:rPr>
        <w:t xml:space="preserve">   </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p>
    <w:p w:rsidR="00CB2BBE" w:rsidRPr="002646EE" w:rsidRDefault="00CB2BBE" w:rsidP="002D6B34">
      <w:pPr>
        <w:pStyle w:val="Heading2"/>
      </w:pPr>
      <w:bookmarkStart w:id="16" w:name="_Toc171420545"/>
      <w:r w:rsidRPr="002646EE">
        <w:lastRenderedPageBreak/>
        <w:t>2.2 Data collection of bioactives of NK and VA targeting Diabetic associated gene</w:t>
      </w:r>
      <w:bookmarkEnd w:id="16"/>
    </w:p>
    <w:p w:rsidR="00CB2BBE" w:rsidRPr="002646EE" w:rsidRDefault="00CB2BBE" w:rsidP="00CB2BBE">
      <w:pPr>
        <w:spacing w:after="0" w:line="240" w:lineRule="auto"/>
        <w:rPr>
          <w:rFonts w:ascii="Times New Roman" w:eastAsia="ArialMT" w:hAnsi="Times New Roman" w:cs="Times New Roman"/>
          <w:sz w:val="24"/>
          <w:szCs w:val="24"/>
          <w:u w:val="single"/>
        </w:rPr>
      </w:pPr>
    </w:p>
    <w:p w:rsidR="00CB2BBE" w:rsidRPr="002646EE" w:rsidRDefault="00CB2BBE" w:rsidP="00CB2BBE">
      <w:pPr>
        <w:spacing w:after="0" w:line="360" w:lineRule="auto"/>
        <w:jc w:val="both"/>
        <w:rPr>
          <w:rFonts w:ascii="Times New Roman" w:hAnsi="Times New Roman" w:cs="Times New Roman"/>
          <w:sz w:val="24"/>
          <w:szCs w:val="24"/>
        </w:rPr>
      </w:pPr>
      <w:r w:rsidRPr="002646EE">
        <w:rPr>
          <w:rFonts w:ascii="Times New Roman" w:hAnsi="Times New Roman" w:cs="Times New Roman"/>
          <w:sz w:val="24"/>
          <w:szCs w:val="24"/>
        </w:rPr>
        <w:t>Previous in silico investigations have demonstrated that NK</w:t>
      </w:r>
      <w:r w:rsidR="003E5875">
        <w:rPr>
          <w:rFonts w:ascii="Times New Roman" w:hAnsi="Times New Roman" w:cs="Times New Roman"/>
          <w:sz w:val="24"/>
          <w:szCs w:val="24"/>
        </w:rPr>
        <w:t xml:space="preserve"> &amp; VA </w:t>
      </w:r>
      <w:r w:rsidRPr="002646EE">
        <w:rPr>
          <w:rFonts w:ascii="Times New Roman" w:hAnsi="Times New Roman" w:cs="Times New Roman"/>
          <w:sz w:val="24"/>
          <w:szCs w:val="24"/>
        </w:rPr>
        <w:t xml:space="preserve"> bioactives can target various proteins and pathways that are therapeutically significant for diabetes and related conditions (Thottappillil et al., 2023). Thottappillil et al. (2023) presented a Venn diagram illustrating NK bioactives targeting 37 proteins associated with diabetic complications and related disorders, including inflammation, fatty liver, and metabolic abnormalities. Additionally, 23 other proteins are linked to diabetes complications such as cardiomyopathy and nephropathy, as well as neuropathy, retinopathy, and other diabetes-related issues like diabetic foot conditions, poor wound healing, and both microvascular and macrovascular complications.</w:t>
      </w:r>
    </w:p>
    <w:p w:rsidR="00CB2BBE" w:rsidRPr="002646EE" w:rsidRDefault="00CB2BBE" w:rsidP="00CB2BBE">
      <w:pPr>
        <w:pStyle w:val="NormalWeb"/>
        <w:spacing w:before="0" w:beforeAutospacing="0" w:after="0" w:afterAutospacing="0" w:line="360" w:lineRule="auto"/>
        <w:jc w:val="both"/>
      </w:pPr>
    </w:p>
    <w:p w:rsidR="00CB2BBE" w:rsidRPr="002646EE" w:rsidRDefault="00CB2BBE" w:rsidP="002D6B34">
      <w:pPr>
        <w:pStyle w:val="Heading2"/>
        <w:rPr>
          <w:sz w:val="24"/>
          <w:szCs w:val="24"/>
        </w:rPr>
      </w:pPr>
      <w:bookmarkStart w:id="17" w:name="_Toc171420546"/>
      <w:r w:rsidRPr="002646EE">
        <w:t>2.3 Data collection of Ayurvedic pharmacological action of NK and VA formulations as per three Ayurvedic classics</w:t>
      </w:r>
      <w:r w:rsidRPr="002646EE">
        <w:rPr>
          <w:sz w:val="24"/>
          <w:szCs w:val="24"/>
        </w:rPr>
        <w:t>.</w:t>
      </w:r>
      <w:bookmarkEnd w:id="17"/>
    </w:p>
    <w:p w:rsidR="00CB2BBE" w:rsidRPr="002646EE" w:rsidRDefault="00CB2BBE" w:rsidP="00CB2BBE">
      <w:pPr>
        <w:autoSpaceDE w:val="0"/>
        <w:autoSpaceDN w:val="0"/>
        <w:adjustRightInd w:val="0"/>
        <w:spacing w:after="0" w:line="240" w:lineRule="auto"/>
        <w:ind w:left="720"/>
        <w:rPr>
          <w:rFonts w:ascii="Times New Roman" w:eastAsia="ArialMT" w:hAnsi="Times New Roman" w:cs="Times New Roman"/>
          <w:color w:val="000000" w:themeColor="text1"/>
          <w:sz w:val="24"/>
          <w:szCs w:val="24"/>
          <w:u w:val="single"/>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 xml:space="preserve">Ingredients of NK and VA formulation were collected from the above-mentioned shloka in the introduction. Synonyms of each ingredient were found out using </w:t>
      </w:r>
      <w:r w:rsidRPr="002646EE">
        <w:rPr>
          <w:rFonts w:ascii="Times New Roman" w:eastAsia="ArialMT" w:hAnsi="Times New Roman" w:cs="Times New Roman"/>
          <w:i/>
          <w:color w:val="000000" w:themeColor="text1"/>
          <w:sz w:val="24"/>
          <w:szCs w:val="24"/>
        </w:rPr>
        <w:t>Bhavprakash Nighantu</w:t>
      </w:r>
      <w:r w:rsidRPr="002646EE">
        <w:rPr>
          <w:rFonts w:ascii="Times New Roman" w:eastAsia="ArialMT" w:hAnsi="Times New Roman" w:cs="Times New Roman"/>
          <w:color w:val="000000" w:themeColor="text1"/>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 xml:space="preserve">All ingredient names and synonyms were searched in different groups of different Ayurveda classics. Information collected from three different classics was from </w:t>
      </w:r>
      <w:r w:rsidRPr="002646EE">
        <w:rPr>
          <w:rFonts w:ascii="Times New Roman" w:eastAsia="ArialMT" w:hAnsi="Times New Roman" w:cs="Times New Roman"/>
          <w:i/>
          <w:color w:val="000000" w:themeColor="text1"/>
          <w:sz w:val="24"/>
          <w:szCs w:val="24"/>
        </w:rPr>
        <w:t>ashtangahrudayam</w:t>
      </w:r>
      <w:r w:rsidRPr="002646EE">
        <w:rPr>
          <w:rFonts w:ascii="Times New Roman" w:eastAsia="ArialMT" w:hAnsi="Times New Roman" w:cs="Times New Roman"/>
          <w:color w:val="000000" w:themeColor="text1"/>
          <w:sz w:val="24"/>
          <w:szCs w:val="24"/>
        </w:rPr>
        <w:t xml:space="preserve"> chapter-15, </w:t>
      </w:r>
      <w:r w:rsidRPr="002646EE">
        <w:rPr>
          <w:rFonts w:ascii="Times New Roman" w:eastAsia="ArialMT" w:hAnsi="Times New Roman" w:cs="Times New Roman"/>
          <w:i/>
          <w:color w:val="000000" w:themeColor="text1"/>
          <w:sz w:val="24"/>
          <w:szCs w:val="24"/>
        </w:rPr>
        <w:t>sushrutha</w:t>
      </w:r>
      <w:r w:rsidRPr="002646EE">
        <w:rPr>
          <w:rFonts w:ascii="Times New Roman" w:eastAsia="ArialMT" w:hAnsi="Times New Roman" w:cs="Times New Roman"/>
          <w:color w:val="000000" w:themeColor="text1"/>
          <w:sz w:val="24"/>
          <w:szCs w:val="24"/>
        </w:rPr>
        <w:t xml:space="preserve"> chapter-38, </w:t>
      </w:r>
      <w:r w:rsidRPr="002646EE">
        <w:rPr>
          <w:rFonts w:ascii="Times New Roman" w:eastAsia="ArialMT" w:hAnsi="Times New Roman" w:cs="Times New Roman"/>
          <w:i/>
          <w:color w:val="000000" w:themeColor="text1"/>
          <w:sz w:val="24"/>
          <w:szCs w:val="24"/>
        </w:rPr>
        <w:t>Charka</w:t>
      </w:r>
      <w:r w:rsidRPr="002646EE">
        <w:rPr>
          <w:rFonts w:ascii="Times New Roman" w:eastAsia="ArialMT" w:hAnsi="Times New Roman" w:cs="Times New Roman"/>
          <w:color w:val="000000" w:themeColor="text1"/>
          <w:sz w:val="24"/>
          <w:szCs w:val="24"/>
        </w:rPr>
        <w:t xml:space="preserve"> samhitha chapter-4. After finding out the ingredients in different groups the indications of each group was collected.</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rPr>
      </w:pPr>
    </w:p>
    <w:p w:rsidR="00CB2BBE" w:rsidRPr="002646EE" w:rsidRDefault="00CB2BBE" w:rsidP="002D6B34">
      <w:pPr>
        <w:pStyle w:val="Heading2"/>
      </w:pPr>
      <w:bookmarkStart w:id="18" w:name="_Toc171420547"/>
      <w:r w:rsidRPr="002646EE">
        <w:t>2.4 Gene ontology and enrichment analysis of diabetic-associated genes</w:t>
      </w:r>
      <w:bookmarkEnd w:id="18"/>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 xml:space="preserve">Gene ontology and enrichment analysis was done using the Scientific and Research Plot tool SRplot: A free online platform for data visualization and graphing </w:t>
      </w:r>
      <w:hyperlink r:id="rId16" w:history="1">
        <w:r w:rsidRPr="002646EE">
          <w:rPr>
            <w:rStyle w:val="Hyperlink"/>
            <w:rFonts w:ascii="Times New Roman" w:eastAsia="ArialMT" w:hAnsi="Times New Roman" w:cs="Times New Roman"/>
            <w:sz w:val="24"/>
            <w:szCs w:val="24"/>
          </w:rPr>
          <w:t>https://www.bioinformatics.com.cn/SRplot</w:t>
        </w:r>
      </w:hyperlink>
      <w:r w:rsidRPr="002646EE">
        <w:rPr>
          <w:rFonts w:ascii="Times New Roman" w:eastAsia="ArialMT" w:hAnsi="Times New Roman" w:cs="Times New Roman"/>
          <w:color w:val="000000" w:themeColor="text1"/>
          <w:sz w:val="24"/>
          <w:szCs w:val="24"/>
        </w:rPr>
        <w:t xml:space="preserve">  </w:t>
      </w:r>
      <w:r w:rsidRPr="002646EE">
        <w:rPr>
          <w:rFonts w:ascii="Times New Roman" w:eastAsia="ArialMT" w:hAnsi="Times New Roman" w:cs="Times New Roman"/>
          <w:color w:val="000000" w:themeColor="text1"/>
          <w:sz w:val="24"/>
          <w:szCs w:val="24"/>
        </w:rPr>
        <w:fldChar w:fldCharType="begin"/>
      </w:r>
      <w:r w:rsidRPr="002646EE">
        <w:rPr>
          <w:rFonts w:ascii="Times New Roman" w:eastAsia="ArialMT" w:hAnsi="Times New Roman" w:cs="Times New Roman"/>
          <w:color w:val="000000" w:themeColor="text1"/>
          <w:sz w:val="24"/>
          <w:szCs w:val="24"/>
        </w:rPr>
        <w:instrText xml:space="preserve"> ADDIN ZOTERO_ITEM CSL_CITATION {"citationID":"e530Y8zm","properties":{"formattedCitation":"(Tang et al., 2023)","plainCitation":"(Tang et al., 2023)","noteIndex":0},"citationItems":[{"id":70,"uris":["http://zotero.org/users/local/Eg2UsBJR/items/93YIWKY9"],"itemData":{"id":70,"type":"article-journal","abstract":"Graphics are widely used to provide summarization of complex data in scientific publications. Although there are many tools available for drawing graphics, their use is limited by programming skills, costs, and platform specificities. Here, we presented a freely accessible easy-to-use web server named SRplot that integrated more than a hundred of commonly used data visualization and graphing functions together. It can be run easily using all Web browsers and there are no strong requirements on the computing power of users’ machines. With a user-friendly graphical interface, users can simply paste the contents of the input file into the text box according to the defined file format. Modification operations can be easily performed, and graphs can be generated in real-time. The resulting graphs can be easily downloaded in bitmap (PNG or TIFF) or vector (PDF or SVG) format in publication quality. The website is updated promptly and continuously. Functions in SRplot have been improved, optimized and updated depend on feedback and suggestions from users. The graphs prepared with SRplot have been featured in more than five hundred peer-reviewed publications. The SRplot web server is now freely available at\n              http://www.bioinformatics.com.cn/SRplot\n              .","container-title":"PLOS ONE","DOI":"10.1371/journal.pone.0294236","ISSN":"1932-6203","issue":"11","journalAbbreviation":"PLoS ONE","language":"en","page":"e0294236","source":"DOI.org (Crossref)","title":"SRplot: A free online platform for data visualization and graphing","title-short":"SRplot","volume":"18","author":[{"family":"Tang","given":"Doudou"},{"family":"Chen","given":"Mingjie"},{"family":"Huang","given":"Xinhua"},{"family":"Zhang","given":"Guicheng"},{"family":"Zeng","given":"Lin"},{"family":"Zhang","given":"Guangsen"},{"family":"Wu","given":"Shangjie"},{"family":"Wang","given":"Yewei"}],"editor":[{"family":"Yin","given":"Yanbin"}],"issued":{"date-parts":[["2023",11,9]]}}}],"schema":"https://github.com/citation-style-language/schema/raw/master/csl-citation.json"} </w:instrText>
      </w:r>
      <w:r w:rsidRPr="002646EE">
        <w:rPr>
          <w:rFonts w:ascii="Times New Roman" w:eastAsia="ArialMT" w:hAnsi="Times New Roman" w:cs="Times New Roman"/>
          <w:color w:val="000000" w:themeColor="text1"/>
          <w:sz w:val="24"/>
          <w:szCs w:val="24"/>
        </w:rPr>
        <w:fldChar w:fldCharType="separate"/>
      </w:r>
      <w:r w:rsidRPr="002646EE">
        <w:rPr>
          <w:rFonts w:ascii="Times New Roman" w:hAnsi="Times New Roman" w:cs="Times New Roman"/>
          <w:sz w:val="24"/>
          <w:szCs w:val="24"/>
        </w:rPr>
        <w:t>(Tang et al., 2023)</w:t>
      </w:r>
      <w:r w:rsidRPr="002646EE">
        <w:rPr>
          <w:rFonts w:ascii="Times New Roman" w:eastAsia="ArialMT" w:hAnsi="Times New Roman" w:cs="Times New Roman"/>
          <w:color w:val="000000" w:themeColor="text1"/>
          <w:sz w:val="24"/>
          <w:szCs w:val="24"/>
        </w:rPr>
        <w:fldChar w:fldCharType="end"/>
      </w:r>
      <w:r w:rsidRPr="002646EE">
        <w:rPr>
          <w:rFonts w:ascii="Times New Roman" w:eastAsia="ArialMT" w:hAnsi="Times New Roman" w:cs="Times New Roman"/>
          <w:color w:val="000000" w:themeColor="text1"/>
          <w:sz w:val="24"/>
          <w:szCs w:val="24"/>
        </w:rPr>
        <w:t>.</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Input : The excel file having the data of 23 diabetic-associated genes targeted by NK and  16 diabetic associated gene targeted by VA genes was copy-pasted into the SRplot input box.</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 xml:space="preserve">Standard formatting options, such as setting the plot name, figure size, font size, and series colors, are all provided by the tool. Some parameters and the final appearance of the graph were set. With a single click of the submit button, the input data and specified style formats are combined to produce the resulting plot in real time. </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Output: The plots were easily downloaded in a high-resolution bitmap (TIFF) format. Once downloaded in TIFF format converted to PDF.</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noProof/>
          <w:color w:val="000000" w:themeColor="text1"/>
          <w:sz w:val="24"/>
          <w:szCs w:val="24"/>
          <w:lang w:eastAsia="en-IN"/>
        </w:rPr>
        <w:lastRenderedPageBreak/>
        <w:drawing>
          <wp:anchor distT="0" distB="0" distL="114300" distR="114300" simplePos="0" relativeHeight="251661312" behindDoc="0" locked="0" layoutInCell="1" allowOverlap="1" wp14:anchorId="37BC3888" wp14:editId="4AD19D23">
            <wp:simplePos x="0" y="0"/>
            <wp:positionH relativeFrom="margin">
              <wp:posOffset>903605</wp:posOffset>
            </wp:positionH>
            <wp:positionV relativeFrom="paragraph">
              <wp:posOffset>123190</wp:posOffset>
            </wp:positionV>
            <wp:extent cx="3660953" cy="241200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5-28 at 11.18.3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0953" cy="2412000"/>
                    </a:xfrm>
                    <a:prstGeom prst="rect">
                      <a:avLst/>
                    </a:prstGeom>
                  </pic:spPr>
                </pic:pic>
              </a:graphicData>
            </a:graphic>
            <wp14:sizeRelH relativeFrom="margin">
              <wp14:pctWidth>0</wp14:pctWidth>
            </wp14:sizeRelH>
            <wp14:sizeRelV relativeFrom="margin">
              <wp14:pctHeight>0</wp14:pctHeight>
            </wp14:sizeRelV>
          </wp:anchor>
        </w:drawing>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p>
    <w:p w:rsidR="00CB2BBE" w:rsidRPr="002646EE" w:rsidRDefault="00CB2BBE" w:rsidP="00CB2BBE">
      <w:pPr>
        <w:pStyle w:val="Footer"/>
        <w:rPr>
          <w:rFonts w:ascii="Times New Roman" w:hAnsi="Times New Roman" w:cs="Times New Roman"/>
          <w:b/>
          <w:sz w:val="24"/>
          <w:szCs w:val="24"/>
        </w:rPr>
      </w:pPr>
      <w:r w:rsidRPr="002646EE">
        <w:rPr>
          <w:rFonts w:ascii="Times New Roman" w:hAnsi="Times New Roman" w:cs="Times New Roman"/>
          <w:sz w:val="24"/>
          <w:szCs w:val="24"/>
        </w:rPr>
        <w:t xml:space="preserve">                                                                                                                                                    </w:t>
      </w:r>
    </w:p>
    <w:p w:rsidR="00CB2BBE" w:rsidRPr="002646EE" w:rsidRDefault="00CB2BBE" w:rsidP="00CB2BBE">
      <w:pPr>
        <w:pStyle w:val="Footer"/>
        <w:rPr>
          <w:rFonts w:ascii="Times New Roman" w:hAnsi="Times New Roman" w:cs="Times New Roman"/>
          <w:b/>
          <w:sz w:val="24"/>
          <w:szCs w:val="24"/>
        </w:rPr>
      </w:pPr>
    </w:p>
    <w:p w:rsidR="00CB2BBE" w:rsidRPr="002646EE" w:rsidRDefault="00CB2BBE" w:rsidP="00CB2BBE">
      <w:pPr>
        <w:pStyle w:val="Footer"/>
        <w:rPr>
          <w:rFonts w:ascii="Times New Roman" w:hAnsi="Times New Roman" w:cs="Times New Roman"/>
          <w:b/>
          <w:sz w:val="24"/>
          <w:szCs w:val="24"/>
        </w:rPr>
      </w:pPr>
    </w:p>
    <w:p w:rsidR="00CB2BBE" w:rsidRPr="002646EE" w:rsidRDefault="00CB2BBE" w:rsidP="00CB2BBE">
      <w:pPr>
        <w:pStyle w:val="Footer"/>
        <w:rPr>
          <w:rFonts w:ascii="Times New Roman" w:hAnsi="Times New Roman" w:cs="Times New Roman"/>
          <w:b/>
          <w:sz w:val="24"/>
          <w:szCs w:val="24"/>
        </w:rPr>
      </w:pPr>
    </w:p>
    <w:p w:rsidR="00CB2BBE" w:rsidRPr="002646EE" w:rsidRDefault="00CB2BBE" w:rsidP="00CB2BBE">
      <w:pPr>
        <w:pStyle w:val="Footer"/>
        <w:rPr>
          <w:rFonts w:ascii="Times New Roman" w:hAnsi="Times New Roman" w:cs="Times New Roman"/>
          <w:b/>
          <w:sz w:val="24"/>
          <w:szCs w:val="24"/>
        </w:rPr>
      </w:pPr>
    </w:p>
    <w:p w:rsidR="00CB2BBE" w:rsidRPr="002646EE" w:rsidRDefault="00CB2BBE" w:rsidP="00CB2BBE">
      <w:pPr>
        <w:pStyle w:val="Footer"/>
        <w:rPr>
          <w:rFonts w:ascii="Times New Roman" w:hAnsi="Times New Roman" w:cs="Times New Roman"/>
          <w:b/>
          <w:sz w:val="24"/>
          <w:szCs w:val="24"/>
        </w:rPr>
      </w:pPr>
    </w:p>
    <w:p w:rsidR="00CB2BBE" w:rsidRPr="002646EE" w:rsidRDefault="00CB2BBE" w:rsidP="00CB2BBE">
      <w:pPr>
        <w:pStyle w:val="Footer"/>
        <w:rPr>
          <w:rFonts w:ascii="Times New Roman" w:hAnsi="Times New Roman" w:cs="Times New Roman"/>
          <w:b/>
          <w:sz w:val="24"/>
          <w:szCs w:val="24"/>
        </w:rPr>
      </w:pPr>
    </w:p>
    <w:p w:rsidR="00CB2BBE" w:rsidRPr="002646EE" w:rsidRDefault="00CB2BBE" w:rsidP="00CB2BBE">
      <w:pPr>
        <w:pStyle w:val="Footer"/>
        <w:rPr>
          <w:rFonts w:ascii="Times New Roman" w:hAnsi="Times New Roman" w:cs="Times New Roman"/>
          <w:b/>
          <w:bCs/>
          <w:sz w:val="24"/>
          <w:szCs w:val="24"/>
        </w:rPr>
      </w:pPr>
    </w:p>
    <w:p w:rsidR="00CB2BBE" w:rsidRPr="002646EE" w:rsidRDefault="00CB2BBE" w:rsidP="00CB2BBE">
      <w:pPr>
        <w:pStyle w:val="Footer"/>
        <w:rPr>
          <w:rFonts w:ascii="Times New Roman" w:hAnsi="Times New Roman" w:cs="Times New Roman"/>
          <w:b/>
          <w:bCs/>
          <w:sz w:val="24"/>
          <w:szCs w:val="24"/>
        </w:rPr>
      </w:pPr>
      <w:r w:rsidRPr="002646EE">
        <w:rPr>
          <w:rFonts w:ascii="Times New Roman" w:hAnsi="Times New Roman" w:cs="Times New Roman"/>
          <w:b/>
          <w:bCs/>
          <w:sz w:val="24"/>
          <w:szCs w:val="24"/>
        </w:rPr>
        <w:t xml:space="preserve">                              FIGURE</w:t>
      </w:r>
      <w:r w:rsidR="0073253F" w:rsidRPr="002646EE">
        <w:rPr>
          <w:rFonts w:ascii="Times New Roman" w:hAnsi="Times New Roman" w:cs="Times New Roman"/>
          <w:b/>
          <w:bCs/>
          <w:sz w:val="24"/>
          <w:szCs w:val="24"/>
        </w:rPr>
        <w:t xml:space="preserve"> 2.</w:t>
      </w:r>
      <w:r w:rsidRPr="002646EE">
        <w:rPr>
          <w:rFonts w:ascii="Times New Roman" w:hAnsi="Times New Roman" w:cs="Times New Roman"/>
          <w:bCs/>
          <w:sz w:val="24"/>
          <w:szCs w:val="24"/>
        </w:rPr>
        <w:t xml:space="preserve"> Workflow of Srplot tool                  </w:t>
      </w:r>
      <w:r w:rsidRPr="002646EE">
        <w:rPr>
          <w:rFonts w:ascii="Times New Roman" w:hAnsi="Times New Roman" w:cs="Times New Roman"/>
          <w:b/>
          <w:sz w:val="24"/>
          <w:szCs w:val="24"/>
        </w:rPr>
        <w:fldChar w:fldCharType="begin"/>
      </w:r>
      <w:r w:rsidRPr="002646EE">
        <w:rPr>
          <w:rFonts w:ascii="Times New Roman" w:hAnsi="Times New Roman" w:cs="Times New Roman"/>
          <w:b/>
          <w:sz w:val="24"/>
          <w:szCs w:val="24"/>
        </w:rPr>
        <w:instrText xml:space="preserve"> ADDIN ZOTERO_ITEM CSL_CITATION {"citationID":"spvADsQC","properties":{"formattedCitation":"(Tang et al., 2023)","plainCitation":"(Tang et al., 2023)","noteIndex":0},"citationItems":[{"id":70,"uris":["http://zotero.org/users/local/Eg2UsBJR/items/93YIWKY9"],"itemData":{"id":70,"type":"article-journal","abstract":"Graphics are widely used to provide summarization of complex data in scientific publications. Although there are many tools available for drawing graphics, their use is limited by programming skills, costs, and platform specificities. Here, we presented a freely accessible easy-to-use web server named SRplot that integrated more than a hundred of commonly used data visualization and graphing functions together. It can be run easily using all Web browsers and there are no strong requirements on the computing power of users’ machines. With a user-friendly graphical interface, users can simply paste the contents of the input file into the text box according to the defined file format. Modification operations can be easily performed, and graphs can be generated in real-time. The resulting graphs can be easily downloaded in bitmap (PNG or TIFF) or vector (PDF or SVG) format in publication quality. The website is updated promptly and continuously. Functions in SRplot have been improved, optimized and updated depend on feedback and suggestions from users. The graphs prepared with SRplot have been featured in more than five hundred peer-reviewed publications. The SRplot web server is now freely available at\n              http://www.bioinformatics.com.cn/SRplot\n              .","container-title":"PLOS ONE","DOI":"10.1371/journal.pone.0294236","ISSN":"1932-6203","issue":"11","journalAbbreviation":"PLoS ONE","language":"en","page":"e0294236","source":"DOI.org (Crossref)","title":"SRplot: A free online platform for data visualization and graphing","title-short":"SRplot","volume":"18","author":[{"family":"Tang","given":"Doudou"},{"family":"Chen","given":"Mingjie"},{"family":"Huang","given":"Xinhua"},{"family":"Zhang","given":"Guicheng"},{"family":"Zeng","given":"Lin"},{"family":"Zhang","given":"Guangsen"},{"family":"Wu","given":"Shangjie"},{"family":"Wang","given":"Yewei"}],"editor":[{"family":"Yin","given":"Yanbin"}],"issued":{"date-parts":[["2023",11,9]]}}}],"schema":"https://github.com/citation-style-language/schema/raw/master/csl-citation.json"} </w:instrText>
      </w:r>
      <w:r w:rsidRPr="002646EE">
        <w:rPr>
          <w:rFonts w:ascii="Times New Roman" w:hAnsi="Times New Roman" w:cs="Times New Roman"/>
          <w:b/>
          <w:sz w:val="24"/>
          <w:szCs w:val="24"/>
        </w:rPr>
        <w:fldChar w:fldCharType="separate"/>
      </w:r>
      <w:r w:rsidRPr="002646EE">
        <w:rPr>
          <w:rFonts w:ascii="Times New Roman" w:hAnsi="Times New Roman" w:cs="Times New Roman"/>
          <w:sz w:val="24"/>
          <w:szCs w:val="24"/>
        </w:rPr>
        <w:t>(Tang et al., 2023)</w:t>
      </w:r>
      <w:r w:rsidRPr="002646EE">
        <w:rPr>
          <w:rFonts w:ascii="Times New Roman" w:hAnsi="Times New Roman" w:cs="Times New Roman"/>
          <w:b/>
          <w:sz w:val="24"/>
          <w:szCs w:val="24"/>
        </w:rPr>
        <w:fldChar w:fldCharType="end"/>
      </w:r>
      <w:r w:rsidRPr="002646EE">
        <w:rPr>
          <w:rFonts w:ascii="Times New Roman" w:hAnsi="Times New Roman" w:cs="Times New Roman"/>
          <w:b/>
          <w:bCs/>
          <w:sz w:val="24"/>
          <w:szCs w:val="24"/>
        </w:rPr>
        <w:t xml:space="preserve">  </w:t>
      </w:r>
    </w:p>
    <w:p w:rsidR="00CB2BBE" w:rsidRPr="002646EE" w:rsidRDefault="00CB2BBE" w:rsidP="00CB2BBE">
      <w:pPr>
        <w:pStyle w:val="Footer"/>
        <w:rPr>
          <w:rFonts w:ascii="Times New Roman" w:hAnsi="Times New Roman" w:cs="Times New Roman"/>
          <w:b/>
          <w:bCs/>
          <w:sz w:val="24"/>
          <w:szCs w:val="24"/>
        </w:rPr>
      </w:pPr>
    </w:p>
    <w:p w:rsidR="00CB2BBE" w:rsidRPr="002646EE" w:rsidRDefault="00CB2BBE" w:rsidP="00CB2BBE">
      <w:pPr>
        <w:pStyle w:val="Footer"/>
        <w:rPr>
          <w:rFonts w:ascii="Times New Roman" w:hAnsi="Times New Roman" w:cs="Times New Roman"/>
          <w:b/>
          <w:bCs/>
          <w:sz w:val="24"/>
          <w:szCs w:val="24"/>
        </w:rPr>
      </w:pPr>
    </w:p>
    <w:p w:rsidR="00CB2BBE" w:rsidRPr="002646EE" w:rsidRDefault="00CB2BBE" w:rsidP="00CB2BBE">
      <w:pPr>
        <w:spacing w:line="360" w:lineRule="auto"/>
        <w:jc w:val="both"/>
        <w:rPr>
          <w:rFonts w:ascii="Times New Roman" w:eastAsia="ArialMT" w:hAnsi="Times New Roman" w:cs="Times New Roman"/>
          <w:b/>
          <w:color w:val="000000" w:themeColor="text1"/>
          <w:sz w:val="24"/>
          <w:szCs w:val="24"/>
        </w:rPr>
      </w:pPr>
    </w:p>
    <w:p w:rsidR="00CB2BBE" w:rsidRPr="002646EE" w:rsidRDefault="00CB2BBE" w:rsidP="002D6B34">
      <w:pPr>
        <w:pStyle w:val="Heading2"/>
      </w:pPr>
    </w:p>
    <w:p w:rsidR="00CB2BBE" w:rsidRPr="002646EE" w:rsidRDefault="00CB2BBE" w:rsidP="002D6B34">
      <w:pPr>
        <w:pStyle w:val="Heading2"/>
      </w:pPr>
      <w:bookmarkStart w:id="19" w:name="_Toc171420548"/>
      <w:r w:rsidRPr="002646EE">
        <w:t xml:space="preserve">2.5 Gallic acid estimation of NK and VA </w:t>
      </w:r>
      <w:r w:rsidRPr="002646EE">
        <w:rPr>
          <w:bCs/>
        </w:rPr>
        <w:t> by folin ciocalteu method</w:t>
      </w:r>
      <w:r w:rsidRPr="002646EE">
        <w:t>.</w:t>
      </w:r>
      <w:bookmarkEnd w:id="19"/>
    </w:p>
    <w:p w:rsidR="00CB2BBE" w:rsidRPr="002646EE" w:rsidRDefault="00CB2BBE" w:rsidP="00CB2BBE">
      <w:pPr>
        <w:spacing w:line="360" w:lineRule="auto"/>
        <w:jc w:val="both"/>
        <w:rPr>
          <w:rFonts w:ascii="Times New Roman" w:hAnsi="Times New Roman" w:cs="Times New Roman"/>
          <w:color w:val="000000" w:themeColor="text1"/>
          <w:sz w:val="24"/>
          <w:szCs w:val="24"/>
        </w:rPr>
      </w:pPr>
      <w:r w:rsidRPr="002646EE">
        <w:rPr>
          <w:rFonts w:ascii="Times New Roman" w:hAnsi="Times New Roman" w:cs="Times New Roman"/>
          <w:bCs/>
          <w:color w:val="000000" w:themeColor="text1"/>
          <w:sz w:val="24"/>
          <w:szCs w:val="24"/>
        </w:rPr>
        <w:t>Materials required:</w:t>
      </w:r>
      <w:r w:rsidRPr="002646EE">
        <w:rPr>
          <w:rFonts w:ascii="Times New Roman" w:hAnsi="Times New Roman" w:cs="Times New Roman"/>
          <w:color w:val="000000" w:themeColor="text1"/>
          <w:sz w:val="24"/>
          <w:szCs w:val="24"/>
        </w:rPr>
        <w:t xml:space="preserve"> </w:t>
      </w:r>
      <w:r w:rsidRPr="002646EE">
        <w:rPr>
          <w:rStyle w:val="NormalWebChar"/>
          <w:rFonts w:eastAsiaTheme="minorHAnsi"/>
        </w:rPr>
        <w:t>gallic acid standard solution, </w:t>
      </w:r>
      <w:r w:rsidRPr="002646EE">
        <w:rPr>
          <w:rFonts w:ascii="Times New Roman" w:hAnsi="Times New Roman" w:cs="Times New Roman"/>
          <w:color w:val="000000" w:themeColor="text1"/>
          <w:sz w:val="24"/>
          <w:szCs w:val="24"/>
        </w:rPr>
        <w:t xml:space="preserve"> </w:t>
      </w:r>
      <w:r w:rsidRPr="002646EE">
        <w:rPr>
          <w:rStyle w:val="NormalWebChar"/>
          <w:rFonts w:eastAsiaTheme="minorHAnsi"/>
        </w:rPr>
        <w:t>folin-ciocalteu reagent 3.5% Sodium carbonate solution</w:t>
      </w:r>
      <w:r w:rsidRPr="002646EE">
        <w:rPr>
          <w:rFonts w:ascii="Times New Roman" w:hAnsi="Times New Roman" w:cs="Times New Roman"/>
          <w:sz w:val="24"/>
          <w:szCs w:val="24"/>
        </w:rPr>
        <w:t xml:space="preserve">, </w:t>
      </w:r>
      <w:r w:rsidRPr="002646EE">
        <w:rPr>
          <w:rStyle w:val="NormalWebChar"/>
          <w:rFonts w:eastAsiaTheme="minorHAnsi"/>
        </w:rPr>
        <w:t>1M Sodium-potassium buffer solution, 96-well plate, Distilled water</w:t>
      </w:r>
      <w:r w:rsidRPr="002646EE">
        <w:rPr>
          <w:rFonts w:ascii="Times New Roman" w:hAnsi="Times New Roman" w:cs="Times New Roman"/>
          <w:sz w:val="24"/>
          <w:szCs w:val="24"/>
        </w:rPr>
        <w:t xml:space="preserve">, </w:t>
      </w:r>
      <w:r w:rsidRPr="002646EE">
        <w:rPr>
          <w:rStyle w:val="NormalWebChar"/>
          <w:rFonts w:eastAsiaTheme="minorHAnsi"/>
        </w:rPr>
        <w:t>Test tubes</w:t>
      </w:r>
      <w:r w:rsidRPr="002646EE">
        <w:rPr>
          <w:rFonts w:ascii="Times New Roman" w:hAnsi="Times New Roman" w:cs="Times New Roman"/>
          <w:sz w:val="24"/>
          <w:szCs w:val="24"/>
        </w:rPr>
        <w:t xml:space="preserve">, </w:t>
      </w:r>
      <w:r w:rsidRPr="002646EE">
        <w:rPr>
          <w:rStyle w:val="NormalWebChar"/>
          <w:rFonts w:eastAsiaTheme="minorHAnsi"/>
        </w:rPr>
        <w:t>Spectrophotometer</w:t>
      </w:r>
      <w:r w:rsidRPr="002646EE">
        <w:rPr>
          <w:rFonts w:ascii="Times New Roman" w:hAnsi="Times New Roman" w:cs="Times New Roman"/>
          <w:sz w:val="24"/>
          <w:szCs w:val="24"/>
        </w:rPr>
        <w:t xml:space="preserve">, </w:t>
      </w:r>
      <w:r w:rsidRPr="002646EE">
        <w:rPr>
          <w:rStyle w:val="NormalWebChar"/>
          <w:rFonts w:eastAsiaTheme="minorHAnsi"/>
        </w:rPr>
        <w:t>Pipettes</w:t>
      </w:r>
      <w:r w:rsidRPr="002646EE">
        <w:rPr>
          <w:rFonts w:ascii="Times New Roman" w:hAnsi="Times New Roman" w:cs="Times New Roman"/>
          <w:sz w:val="24"/>
          <w:szCs w:val="24"/>
        </w:rPr>
        <w:t xml:space="preserve"> </w:t>
      </w:r>
      <w:r w:rsidRPr="002646EE">
        <w:rPr>
          <w:rStyle w:val="NormalWebChar"/>
          <w:rFonts w:eastAsiaTheme="minorHAnsi"/>
        </w:rPr>
        <w:t>Vortex mixer or shaker, samples: NK</w:t>
      </w:r>
      <w:r w:rsidR="00857813">
        <w:rPr>
          <w:rStyle w:val="NormalWebChar"/>
          <w:rFonts w:eastAsiaTheme="minorHAnsi"/>
        </w:rPr>
        <w:t xml:space="preserve"> (Vaidyaratnam)</w:t>
      </w:r>
      <w:r w:rsidRPr="002646EE">
        <w:rPr>
          <w:rStyle w:val="NormalWebChar"/>
          <w:rFonts w:eastAsiaTheme="minorHAnsi"/>
        </w:rPr>
        <w:t xml:space="preserve"> and VA</w:t>
      </w:r>
      <w:r w:rsidR="00857813">
        <w:rPr>
          <w:rFonts w:ascii="Times New Roman" w:hAnsi="Times New Roman" w:cs="Times New Roman"/>
          <w:color w:val="333333"/>
          <w:sz w:val="24"/>
          <w:szCs w:val="24"/>
          <w:bdr w:val="none" w:sz="0" w:space="0" w:color="auto" w:frame="1"/>
        </w:rPr>
        <w:t xml:space="preserve"> (The Arya vaidya Pharmacy)</w:t>
      </w: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eastAsia="Times New Roman" w:hAnsi="Times New Roman" w:cs="Times New Roman"/>
          <w:bCs/>
          <w:color w:val="000000" w:themeColor="text1"/>
          <w:sz w:val="24"/>
          <w:szCs w:val="24"/>
          <w:lang w:eastAsia="en-IN"/>
        </w:rPr>
        <w:t>Reagents preparation</w:t>
      </w:r>
      <w:r w:rsidRPr="002646EE">
        <w:rPr>
          <w:rFonts w:ascii="Times New Roman" w:eastAsia="Times New Roman" w:hAnsi="Times New Roman" w:cs="Times New Roman"/>
          <w:color w:val="000000" w:themeColor="text1"/>
          <w:sz w:val="24"/>
          <w:szCs w:val="24"/>
          <w:lang w:eastAsia="en-IN"/>
        </w:rPr>
        <w:t>:</w:t>
      </w:r>
      <w:r w:rsidRPr="002646EE">
        <w:rPr>
          <w:rFonts w:ascii="Times New Roman" w:hAnsi="Times New Roman" w:cs="Times New Roman"/>
          <w:color w:val="333333"/>
          <w:sz w:val="24"/>
          <w:szCs w:val="24"/>
          <w:bdr w:val="none" w:sz="0" w:space="0" w:color="auto" w:frame="1"/>
        </w:rPr>
        <w:t xml:space="preserve"> </w:t>
      </w:r>
      <w:r w:rsidRPr="002646EE">
        <w:rPr>
          <w:rStyle w:val="NormalWebChar"/>
          <w:rFonts w:eastAsiaTheme="minorHAnsi"/>
        </w:rPr>
        <w:t>Gallic acid standard solution: 1 mg/ml concentration.</w:t>
      </w:r>
      <w:r w:rsidRPr="002646EE">
        <w:rPr>
          <w:rFonts w:ascii="Times New Roman" w:hAnsi="Times New Roman" w:cs="Times New Roman"/>
          <w:color w:val="333333"/>
          <w:sz w:val="24"/>
          <w:szCs w:val="24"/>
          <w:bdr w:val="none" w:sz="0" w:space="0" w:color="auto" w:frame="1"/>
        </w:rPr>
        <w:t xml:space="preserve"> </w:t>
      </w:r>
      <w:r w:rsidRPr="002646EE">
        <w:rPr>
          <w:rStyle w:val="NormalWebChar"/>
          <w:rFonts w:eastAsiaTheme="minorHAnsi"/>
        </w:rPr>
        <w:t>(Weigh 1 mg of gallic acid salt &amp; vortex in 1 ml 0.02M sodium potassium buffer).For 250 µgm/ml concentration aliquot 250µl from the above solution &amp; make up to 1ml.Folin-Ciocalteu reagent: Prepare a 1:1 ratio of Fc reagent with water according to the number of wells and volume required.</w:t>
      </w:r>
      <w:r w:rsidRPr="002646EE">
        <w:rPr>
          <w:rFonts w:ascii="Times New Roman" w:hAnsi="Times New Roman" w:cs="Times New Roman"/>
          <w:color w:val="333333"/>
          <w:sz w:val="24"/>
          <w:szCs w:val="24"/>
          <w:bdr w:val="none" w:sz="0" w:space="0" w:color="auto" w:frame="1"/>
        </w:rPr>
        <w:t xml:space="preserve"> </w:t>
      </w:r>
      <w:r w:rsidRPr="002646EE">
        <w:rPr>
          <w:rStyle w:val="NormalWebChar"/>
          <w:rFonts w:eastAsiaTheme="minorHAnsi"/>
        </w:rPr>
        <w:t>3.5% Sodium carbonate solution: add 3.5 gm of Sodium carbonate in 100 ml of nice water. For 25 ml of sodium carbonate: add 0.875 gm in 20 ml nice water. </w:t>
      </w:r>
      <w:r w:rsidRPr="002646EE">
        <w:rPr>
          <w:rFonts w:ascii="Times New Roman" w:hAnsi="Times New Roman" w:cs="Times New Roman"/>
          <w:color w:val="333333"/>
          <w:sz w:val="24"/>
          <w:szCs w:val="24"/>
          <w:bdr w:val="none" w:sz="0" w:space="0" w:color="auto" w:frame="1"/>
        </w:rPr>
        <w:t xml:space="preserve"> </w:t>
      </w:r>
      <w:r w:rsidRPr="002646EE">
        <w:rPr>
          <w:rStyle w:val="NormalWebChar"/>
          <w:rFonts w:eastAsiaTheme="minorHAnsi"/>
        </w:rPr>
        <w:t>Prepare 1M Sodium-potassium buffer</w:t>
      </w:r>
      <w:r w:rsidRPr="002646EE">
        <w:rPr>
          <w:rFonts w:ascii="Times New Roman" w:hAnsi="Times New Roman" w:cs="Times New Roman"/>
          <w:color w:val="333333"/>
          <w:sz w:val="24"/>
          <w:szCs w:val="24"/>
          <w:bdr w:val="none" w:sz="0" w:space="0" w:color="auto" w:frame="1"/>
        </w:rPr>
        <w:t>.</w:t>
      </w:r>
    </w:p>
    <w:p w:rsidR="00CB2BBE" w:rsidRPr="002646EE" w:rsidRDefault="00CB2BBE" w:rsidP="00CB2BBE">
      <w:pPr>
        <w:spacing w:line="360" w:lineRule="auto"/>
        <w:jc w:val="both"/>
        <w:rPr>
          <w:rStyle w:val="NormalWebChar"/>
          <w:rFonts w:eastAsiaTheme="minorHAnsi"/>
          <w:color w:val="000000" w:themeColor="text1"/>
        </w:rPr>
      </w:pPr>
      <w:r w:rsidRPr="002646EE">
        <w:rPr>
          <w:rFonts w:ascii="Times New Roman" w:hAnsi="Times New Roman" w:cs="Times New Roman"/>
          <w:bCs/>
          <w:color w:val="000000" w:themeColor="text1"/>
          <w:sz w:val="24"/>
          <w:szCs w:val="24"/>
        </w:rPr>
        <w:t>Sample preparation</w:t>
      </w:r>
      <w:r w:rsidRPr="002646EE">
        <w:rPr>
          <w:rFonts w:ascii="Times New Roman" w:hAnsi="Times New Roman" w:cs="Times New Roman"/>
          <w:color w:val="000000" w:themeColor="text1"/>
          <w:sz w:val="24"/>
          <w:szCs w:val="24"/>
        </w:rPr>
        <w:t xml:space="preserve">: </w:t>
      </w:r>
      <w:r w:rsidRPr="002646EE">
        <w:rPr>
          <w:rStyle w:val="NormalWebChar"/>
          <w:rFonts w:eastAsiaTheme="minorHAnsi"/>
        </w:rPr>
        <w:t>NK and VA samples were taken in two different 15 ml tubes. Transfer 500 microliter of the sample to a 1.5ml Eppendorf tube for centrifugation</w:t>
      </w:r>
      <w:r w:rsidRPr="002646EE">
        <w:rPr>
          <w:rFonts w:ascii="Times New Roman" w:hAnsi="Times New Roman" w:cs="Times New Roman"/>
          <w:sz w:val="24"/>
          <w:szCs w:val="24"/>
        </w:rPr>
        <w:t xml:space="preserve">. </w:t>
      </w:r>
      <w:r w:rsidRPr="002646EE">
        <w:rPr>
          <w:rStyle w:val="NormalWebChar"/>
          <w:rFonts w:eastAsiaTheme="minorHAnsi"/>
        </w:rPr>
        <w:t>Centrifuge these samples at 5000 rpm for 5 minutes at 25 to 26-degree temperature. After centrifugation, transfer the supernatant to another 1 ml tube without disturbing the sediment.</w:t>
      </w:r>
    </w:p>
    <w:p w:rsidR="00CB2BBE" w:rsidRPr="002646EE" w:rsidRDefault="00CB2BBE" w:rsidP="00CB2BBE">
      <w:pPr>
        <w:spacing w:after="0" w:line="360" w:lineRule="auto"/>
        <w:jc w:val="both"/>
        <w:rPr>
          <w:rFonts w:ascii="Times New Roman" w:hAnsi="Times New Roman" w:cs="Times New Roman"/>
          <w:bCs/>
          <w:color w:val="000000" w:themeColor="text1"/>
          <w:sz w:val="24"/>
          <w:szCs w:val="24"/>
        </w:rPr>
      </w:pPr>
      <w:r w:rsidRPr="002646EE">
        <w:rPr>
          <w:rFonts w:ascii="Times New Roman" w:hAnsi="Times New Roman" w:cs="Times New Roman"/>
          <w:bCs/>
          <w:color w:val="000000" w:themeColor="text1"/>
          <w:sz w:val="24"/>
          <w:szCs w:val="24"/>
        </w:rPr>
        <w:t>Procedure:</w:t>
      </w:r>
    </w:p>
    <w:p w:rsidR="00CB2BBE" w:rsidRPr="002646EE" w:rsidRDefault="00CB2BBE" w:rsidP="00CB2BBE">
      <w:pPr>
        <w:spacing w:after="0" w:line="360" w:lineRule="auto"/>
        <w:jc w:val="both"/>
        <w:rPr>
          <w:rFonts w:ascii="Times New Roman" w:hAnsi="Times New Roman" w:cs="Times New Roman"/>
          <w:color w:val="000000" w:themeColor="text1"/>
          <w:sz w:val="24"/>
          <w:szCs w:val="24"/>
        </w:rPr>
      </w:pPr>
      <w:r w:rsidRPr="002646EE">
        <w:rPr>
          <w:rFonts w:ascii="Times New Roman" w:hAnsi="Times New Roman" w:cs="Times New Roman"/>
          <w:color w:val="000000" w:themeColor="text1"/>
          <w:sz w:val="24"/>
          <w:szCs w:val="24"/>
        </w:rPr>
        <w:lastRenderedPageBreak/>
        <w:t xml:space="preserve"> </w:t>
      </w:r>
      <w:r w:rsidRPr="002646EE">
        <w:rPr>
          <w:rStyle w:val="NormalWebChar"/>
          <w:rFonts w:eastAsiaTheme="minorHAnsi"/>
        </w:rPr>
        <w:t>Add 0.02 M of 40 microlitres of NAP buffer to all the wells in triplicate. Add 10 µl of sample to all the wells in triplicate. Add 50µl of Fc reagent to the sample and mix it well except the control group, while adding fc reagent lights should be turned off. Add 50 microlitre of 0.02 M of NAP buffer to the control . Incubate the plate for 30 minutes in a dark chamber. Add 3.5 % of 100 microlitres of Sodium carbonate to all the wells and mix it well. Read the plate under a microplate reader against 700 nm wavelength(200 path length).</w:t>
      </w:r>
    </w:p>
    <w:p w:rsidR="00CB2BBE" w:rsidRPr="002646EE" w:rsidRDefault="00CB2BBE" w:rsidP="002D6B34">
      <w:pPr>
        <w:pStyle w:val="Heading2"/>
      </w:pPr>
    </w:p>
    <w:p w:rsidR="00CB2BBE" w:rsidRPr="002646EE" w:rsidRDefault="00CB2BBE" w:rsidP="002D6B34">
      <w:pPr>
        <w:pStyle w:val="Heading2"/>
      </w:pPr>
      <w:bookmarkStart w:id="20" w:name="_Toc171420549"/>
      <w:r w:rsidRPr="002646EE">
        <w:t>2.6 Lipase assay</w:t>
      </w:r>
      <w:bookmarkEnd w:id="20"/>
    </w:p>
    <w:p w:rsidR="00CB2BBE" w:rsidRPr="002646EE" w:rsidRDefault="00CB2BBE" w:rsidP="00CB2BBE">
      <w:pPr>
        <w:pStyle w:val="Footer"/>
        <w:rPr>
          <w:rFonts w:ascii="Times New Roman" w:hAnsi="Times New Roman" w:cs="Times New Roman"/>
          <w:b/>
          <w:sz w:val="24"/>
          <w:szCs w:val="24"/>
        </w:rPr>
      </w:pP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bCs/>
          <w:color w:val="000000" w:themeColor="text1"/>
          <w:sz w:val="24"/>
          <w:szCs w:val="24"/>
        </w:rPr>
        <w:t>Materials required:</w:t>
      </w:r>
      <w:r w:rsidRPr="002646EE">
        <w:rPr>
          <w:rFonts w:ascii="Times New Roman" w:hAnsi="Times New Roman" w:cs="Times New Roman"/>
          <w:color w:val="000000" w:themeColor="text1"/>
          <w:sz w:val="24"/>
          <w:szCs w:val="24"/>
        </w:rPr>
        <w:t xml:space="preserve"> </w:t>
      </w:r>
      <w:r w:rsidRPr="002646EE">
        <w:rPr>
          <w:rStyle w:val="NormalWebChar"/>
          <w:rFonts w:eastAsiaTheme="minorHAnsi"/>
        </w:rPr>
        <w:t>96-well plate, Distilled water</w:t>
      </w:r>
      <w:r w:rsidRPr="002646EE">
        <w:rPr>
          <w:rFonts w:ascii="Times New Roman" w:hAnsi="Times New Roman" w:cs="Times New Roman"/>
          <w:sz w:val="24"/>
          <w:szCs w:val="24"/>
        </w:rPr>
        <w:t xml:space="preserve">, </w:t>
      </w:r>
      <w:r w:rsidRPr="002646EE">
        <w:rPr>
          <w:rStyle w:val="NormalWebChar"/>
          <w:rFonts w:eastAsiaTheme="minorHAnsi"/>
        </w:rPr>
        <w:t>Test tubes</w:t>
      </w:r>
      <w:r w:rsidRPr="002646EE">
        <w:rPr>
          <w:rFonts w:ascii="Times New Roman" w:hAnsi="Times New Roman" w:cs="Times New Roman"/>
          <w:sz w:val="24"/>
          <w:szCs w:val="24"/>
        </w:rPr>
        <w:t xml:space="preserve">, </w:t>
      </w:r>
      <w:r w:rsidRPr="002646EE">
        <w:rPr>
          <w:rStyle w:val="NormalWebChar"/>
          <w:rFonts w:eastAsiaTheme="minorHAnsi"/>
        </w:rPr>
        <w:t>Spectrophotometer</w:t>
      </w:r>
      <w:r w:rsidRPr="002646EE">
        <w:rPr>
          <w:rFonts w:ascii="Times New Roman" w:hAnsi="Times New Roman" w:cs="Times New Roman"/>
          <w:sz w:val="24"/>
          <w:szCs w:val="24"/>
        </w:rPr>
        <w:t xml:space="preserve">, </w:t>
      </w:r>
      <w:r w:rsidRPr="002646EE">
        <w:rPr>
          <w:rStyle w:val="NormalWebChar"/>
          <w:rFonts w:eastAsiaTheme="minorHAnsi"/>
        </w:rPr>
        <w:t>Pipettes</w:t>
      </w:r>
      <w:r w:rsidRPr="002646EE">
        <w:rPr>
          <w:rFonts w:ascii="Times New Roman" w:hAnsi="Times New Roman" w:cs="Times New Roman"/>
          <w:sz w:val="24"/>
          <w:szCs w:val="24"/>
        </w:rPr>
        <w:t xml:space="preserve"> </w:t>
      </w:r>
      <w:r w:rsidRPr="002646EE">
        <w:rPr>
          <w:rStyle w:val="NormalWebChar"/>
          <w:rFonts w:eastAsiaTheme="minorHAnsi"/>
        </w:rPr>
        <w:t>Vortex mixer or shaker</w:t>
      </w:r>
      <w:r w:rsidRPr="002646EE">
        <w:rPr>
          <w:rFonts w:ascii="Times New Roman" w:hAnsi="Times New Roman" w:cs="Times New Roman"/>
          <w:color w:val="333333"/>
          <w:sz w:val="24"/>
          <w:szCs w:val="24"/>
          <w:bdr w:val="none" w:sz="0" w:space="0" w:color="auto" w:frame="1"/>
        </w:rPr>
        <w:t>.</w:t>
      </w:r>
    </w:p>
    <w:p w:rsidR="00CB2BBE" w:rsidRPr="002646EE" w:rsidRDefault="00CB2BBE" w:rsidP="00CB2BBE">
      <w:pPr>
        <w:spacing w:line="360" w:lineRule="auto"/>
        <w:jc w:val="both"/>
        <w:rPr>
          <w:rFonts w:ascii="Times New Roman" w:eastAsia="Times New Roman" w:hAnsi="Times New Roman" w:cs="Times New Roman"/>
          <w:bCs/>
          <w:color w:val="000000" w:themeColor="text1"/>
          <w:sz w:val="24"/>
          <w:szCs w:val="24"/>
          <w:lang w:eastAsia="en-IN"/>
        </w:rPr>
      </w:pPr>
      <w:r w:rsidRPr="002646EE">
        <w:rPr>
          <w:rFonts w:ascii="Times New Roman" w:hAnsi="Times New Roman" w:cs="Times New Roman"/>
          <w:color w:val="333333"/>
          <w:sz w:val="24"/>
          <w:szCs w:val="24"/>
          <w:bdr w:val="none" w:sz="0" w:space="0" w:color="auto" w:frame="1"/>
        </w:rPr>
        <w:t xml:space="preserve">Reagents required : 1M sodium Phosphate buffer (1M stock), 50Mm sodium phosphate buffer (50Mm working solution), 10mg/ml lipase, </w:t>
      </w:r>
      <w:r w:rsidRPr="002646EE">
        <w:rPr>
          <w:rFonts w:ascii="Times New Roman" w:eastAsia="Times New Roman" w:hAnsi="Times New Roman" w:cs="Times New Roman"/>
          <w:bCs/>
          <w:color w:val="000000" w:themeColor="text1"/>
          <w:sz w:val="24"/>
          <w:szCs w:val="24"/>
          <w:lang w:eastAsia="en-IN"/>
        </w:rPr>
        <w:t>substrate PNPB ,  Samples :NK</w:t>
      </w:r>
      <w:r w:rsidR="00857813">
        <w:rPr>
          <w:rFonts w:ascii="Times New Roman" w:eastAsia="Times New Roman" w:hAnsi="Times New Roman" w:cs="Times New Roman"/>
          <w:bCs/>
          <w:color w:val="000000" w:themeColor="text1"/>
          <w:sz w:val="24"/>
          <w:szCs w:val="24"/>
          <w:lang w:eastAsia="en-IN"/>
        </w:rPr>
        <w:t xml:space="preserve"> (Vaidyaratnam)</w:t>
      </w:r>
      <w:r w:rsidRPr="002646EE">
        <w:rPr>
          <w:rFonts w:ascii="Times New Roman" w:eastAsia="Times New Roman" w:hAnsi="Times New Roman" w:cs="Times New Roman"/>
          <w:bCs/>
          <w:color w:val="000000" w:themeColor="text1"/>
          <w:sz w:val="24"/>
          <w:szCs w:val="24"/>
          <w:lang w:eastAsia="en-IN"/>
        </w:rPr>
        <w:t xml:space="preserve"> and VA</w:t>
      </w:r>
      <w:r w:rsidR="00857813">
        <w:rPr>
          <w:rFonts w:ascii="Times New Roman" w:eastAsia="Times New Roman" w:hAnsi="Times New Roman" w:cs="Times New Roman"/>
          <w:bCs/>
          <w:color w:val="000000" w:themeColor="text1"/>
          <w:sz w:val="24"/>
          <w:szCs w:val="24"/>
          <w:lang w:eastAsia="en-IN"/>
        </w:rPr>
        <w:t xml:space="preserve"> (The Arya vaidya pharmacy)</w:t>
      </w:r>
      <w:r w:rsidRPr="002646EE">
        <w:rPr>
          <w:rFonts w:ascii="Times New Roman" w:eastAsia="Times New Roman" w:hAnsi="Times New Roman" w:cs="Times New Roman"/>
          <w:bCs/>
          <w:color w:val="000000" w:themeColor="text1"/>
          <w:sz w:val="24"/>
          <w:szCs w:val="24"/>
          <w:lang w:eastAsia="en-IN"/>
        </w:rPr>
        <w:t xml:space="preserve"> (inhibitors)</w:t>
      </w: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eastAsia="Times New Roman" w:hAnsi="Times New Roman" w:cs="Times New Roman"/>
          <w:bCs/>
          <w:color w:val="000000" w:themeColor="text1"/>
          <w:sz w:val="24"/>
          <w:szCs w:val="24"/>
          <w:lang w:eastAsia="en-IN"/>
        </w:rPr>
        <w:t>Reagents preparation</w:t>
      </w:r>
      <w:r w:rsidRPr="002646EE">
        <w:rPr>
          <w:rFonts w:ascii="Times New Roman" w:eastAsia="Times New Roman" w:hAnsi="Times New Roman" w:cs="Times New Roman"/>
          <w:color w:val="000000" w:themeColor="text1"/>
          <w:sz w:val="24"/>
          <w:szCs w:val="24"/>
          <w:lang w:eastAsia="en-IN"/>
        </w:rPr>
        <w:t>:</w:t>
      </w:r>
      <w:r w:rsidRPr="002646EE">
        <w:rPr>
          <w:rFonts w:ascii="Times New Roman" w:hAnsi="Times New Roman" w:cs="Times New Roman"/>
          <w:color w:val="333333"/>
          <w:sz w:val="24"/>
          <w:szCs w:val="24"/>
          <w:bdr w:val="none" w:sz="0" w:space="0" w:color="auto" w:frame="1"/>
        </w:rPr>
        <w:t xml:space="preserve"> Prepare 50mM  of sodium phosphate buffer of pH 8.0. Weigh 200 mg of lipase aliquot, 10 ml of  50mM NaP buffer in two different tubes  and add 100 mg of weighed lipase into each tubes and  vortex it for 4 minutes.Then centrifuge it for 4000rpm for 10 minutes. Then collect the supernatant in a separate vial. Then prepare lipase buffer mix by adding 1.5 ml of prepared lipase to 3.5ml of 50mM NaP buffer.</w:t>
      </w: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color w:val="333333"/>
          <w:sz w:val="24"/>
          <w:szCs w:val="24"/>
          <w:bdr w:val="none" w:sz="0" w:space="0" w:color="auto" w:frame="1"/>
        </w:rPr>
        <w:t>Sample preparation: To prepare 160µg concentration of 500µl of samples NK and VA.180 µl of Nk was added to 320 µl of 50mM NaP buffer.</w:t>
      </w: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color w:val="333333"/>
          <w:sz w:val="24"/>
          <w:szCs w:val="24"/>
          <w:bdr w:val="none" w:sz="0" w:space="0" w:color="auto" w:frame="1"/>
        </w:rPr>
        <w:t>PNPB substrate preparation: This should be prepared freshly before the addition.Add 3µl of PNPB in 15ml of 50mM NaP buffer.</w:t>
      </w: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color w:val="333333"/>
          <w:sz w:val="24"/>
          <w:szCs w:val="24"/>
          <w:bdr w:val="none" w:sz="0" w:space="0" w:color="auto" w:frame="1"/>
        </w:rPr>
        <w:t>Procedure:</w:t>
      </w: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color w:val="333333"/>
          <w:sz w:val="24"/>
          <w:szCs w:val="24"/>
          <w:bdr w:val="none" w:sz="0" w:space="0" w:color="auto" w:frame="1"/>
        </w:rPr>
        <w:t>Aiquote 50µl of 50mMNaP buffer in all the wells except 1</w:t>
      </w:r>
      <w:r w:rsidRPr="002646EE">
        <w:rPr>
          <w:rFonts w:ascii="Times New Roman" w:hAnsi="Times New Roman" w:cs="Times New Roman"/>
          <w:color w:val="333333"/>
          <w:sz w:val="24"/>
          <w:szCs w:val="24"/>
          <w:bdr w:val="none" w:sz="0" w:space="0" w:color="auto" w:frame="1"/>
          <w:vertAlign w:val="superscript"/>
        </w:rPr>
        <w:t>st</w:t>
      </w:r>
      <w:r w:rsidRPr="002646EE">
        <w:rPr>
          <w:rFonts w:ascii="Times New Roman" w:hAnsi="Times New Roman" w:cs="Times New Roman"/>
          <w:color w:val="333333"/>
          <w:sz w:val="24"/>
          <w:szCs w:val="24"/>
          <w:bdr w:val="none" w:sz="0" w:space="0" w:color="auto" w:frame="1"/>
        </w:rPr>
        <w:t xml:space="preserve"> row wells.Then add 100µl of  prepared concentration of  sample NK and VA  in the 1</w:t>
      </w:r>
      <w:r w:rsidRPr="002646EE">
        <w:rPr>
          <w:rFonts w:ascii="Times New Roman" w:hAnsi="Times New Roman" w:cs="Times New Roman"/>
          <w:color w:val="333333"/>
          <w:sz w:val="24"/>
          <w:szCs w:val="24"/>
          <w:bdr w:val="none" w:sz="0" w:space="0" w:color="auto" w:frame="1"/>
          <w:vertAlign w:val="superscript"/>
        </w:rPr>
        <w:t>st</w:t>
      </w:r>
      <w:r w:rsidRPr="002646EE">
        <w:rPr>
          <w:rFonts w:ascii="Times New Roman" w:hAnsi="Times New Roman" w:cs="Times New Roman"/>
          <w:color w:val="333333"/>
          <w:sz w:val="24"/>
          <w:szCs w:val="24"/>
          <w:bdr w:val="none" w:sz="0" w:space="0" w:color="auto" w:frame="1"/>
        </w:rPr>
        <w:t xml:space="preserve"> row wells in duplicates  and do the serial dilutions and keep the last row wells as blank.</w:t>
      </w:r>
    </w:p>
    <w:p w:rsidR="00CB2BBE" w:rsidRPr="002646EE" w:rsidRDefault="00CB2BBE"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color w:val="333333"/>
          <w:sz w:val="24"/>
          <w:szCs w:val="24"/>
          <w:bdr w:val="none" w:sz="0" w:space="0" w:color="auto" w:frame="1"/>
        </w:rPr>
        <w:t>Then add 150µl of lipase buffer mix to one set of duplicate of NK and for the other set of NK duplicate set add 150µl of 50mMNap buffer (colour control) and same for the VA samples.Then keep the plate for incubationfor 30 minutes at 37</w:t>
      </w:r>
      <w:r w:rsidRPr="002646EE">
        <w:rPr>
          <w:rFonts w:ascii="Gadugi" w:hAnsi="Gadugi" w:cs="Gadugi"/>
          <w:color w:val="333333"/>
          <w:sz w:val="24"/>
          <w:szCs w:val="24"/>
          <w:bdr w:val="none" w:sz="0" w:space="0" w:color="auto" w:frame="1"/>
        </w:rPr>
        <w:t>ᐤ</w:t>
      </w:r>
      <w:r w:rsidRPr="002646EE">
        <w:rPr>
          <w:rFonts w:ascii="Times New Roman" w:hAnsi="Times New Roman" w:cs="Times New Roman"/>
          <w:color w:val="333333"/>
          <w:sz w:val="24"/>
          <w:szCs w:val="24"/>
          <w:bdr w:val="none" w:sz="0" w:space="0" w:color="auto" w:frame="1"/>
        </w:rPr>
        <w:t xml:space="preserve">c. Then add 90µl of freshly </w:t>
      </w:r>
      <w:r w:rsidRPr="002646EE">
        <w:rPr>
          <w:rFonts w:ascii="Times New Roman" w:hAnsi="Times New Roman" w:cs="Times New Roman"/>
          <w:color w:val="333333"/>
          <w:sz w:val="24"/>
          <w:szCs w:val="24"/>
          <w:bdr w:val="none" w:sz="0" w:space="0" w:color="auto" w:frame="1"/>
        </w:rPr>
        <w:lastRenderedPageBreak/>
        <w:t>prepared subsatrate to all the wells.Then read the plates under spectrophotometer against 405nm for 45 minutes.</w:t>
      </w:r>
    </w:p>
    <w:p w:rsidR="00532ECC" w:rsidRPr="002646EE" w:rsidRDefault="00532ECC" w:rsidP="00CB2BBE">
      <w:pPr>
        <w:spacing w:line="360" w:lineRule="auto"/>
        <w:jc w:val="both"/>
        <w:rPr>
          <w:rFonts w:ascii="Times New Roman" w:hAnsi="Times New Roman" w:cs="Times New Roman"/>
          <w:color w:val="333333"/>
          <w:sz w:val="24"/>
          <w:szCs w:val="24"/>
          <w:bdr w:val="none" w:sz="0" w:space="0" w:color="auto" w:frame="1"/>
        </w:rPr>
      </w:pPr>
    </w:p>
    <w:p w:rsidR="004A0789" w:rsidRPr="002646EE" w:rsidRDefault="004A0789" w:rsidP="00CB2BBE">
      <w:pPr>
        <w:spacing w:line="360" w:lineRule="auto"/>
        <w:jc w:val="both"/>
        <w:rPr>
          <w:rFonts w:ascii="Times New Roman" w:hAnsi="Times New Roman" w:cs="Times New Roman"/>
          <w:b/>
          <w:noProof/>
          <w:color w:val="333333"/>
          <w:sz w:val="24"/>
          <w:szCs w:val="24"/>
          <w:bdr w:val="none" w:sz="0" w:space="0" w:color="auto" w:frame="1"/>
          <w:lang w:eastAsia="en-IN"/>
        </w:rPr>
      </w:pPr>
      <w:r w:rsidRPr="002646EE">
        <w:rPr>
          <w:rFonts w:ascii="Times New Roman" w:hAnsi="Times New Roman" w:cs="Times New Roman"/>
          <w:b/>
          <w:noProof/>
          <w:color w:val="333333"/>
          <w:sz w:val="24"/>
          <w:szCs w:val="24"/>
          <w:bdr w:val="none" w:sz="0" w:space="0" w:color="auto" w:frame="1"/>
          <w:lang w:eastAsia="en-IN"/>
        </w:rPr>
        <w:drawing>
          <wp:anchor distT="0" distB="0" distL="114300" distR="114300" simplePos="0" relativeHeight="251679744" behindDoc="0" locked="0" layoutInCell="1" allowOverlap="1">
            <wp:simplePos x="0" y="0"/>
            <wp:positionH relativeFrom="column">
              <wp:posOffset>-60960</wp:posOffset>
            </wp:positionH>
            <wp:positionV relativeFrom="paragraph">
              <wp:posOffset>274320</wp:posOffset>
            </wp:positionV>
            <wp:extent cx="2951480" cy="2211705"/>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80" cy="2211705"/>
                    </a:xfrm>
                    <a:prstGeom prst="rect">
                      <a:avLst/>
                    </a:prstGeom>
                    <a:noFill/>
                  </pic:spPr>
                </pic:pic>
              </a:graphicData>
            </a:graphic>
          </wp:anchor>
        </w:drawing>
      </w:r>
      <w:r w:rsidR="00C70D14" w:rsidRPr="002646EE">
        <w:rPr>
          <w:rFonts w:ascii="Times New Roman" w:hAnsi="Times New Roman" w:cs="Times New Roman"/>
          <w:b/>
          <w:noProof/>
          <w:color w:val="333333"/>
          <w:sz w:val="24"/>
          <w:szCs w:val="24"/>
          <w:bdr w:val="none" w:sz="0" w:space="0" w:color="auto" w:frame="1"/>
          <w:lang w:eastAsia="en-IN"/>
        </w:rPr>
        <w:t>Lipase inhibition by NK and VA</w:t>
      </w:r>
    </w:p>
    <w:p w:rsidR="004A0789" w:rsidRPr="002646EE" w:rsidRDefault="004A0789" w:rsidP="00CB2BBE">
      <w:pPr>
        <w:spacing w:line="360" w:lineRule="auto"/>
        <w:jc w:val="both"/>
        <w:rPr>
          <w:rFonts w:ascii="Times New Roman" w:hAnsi="Times New Roman" w:cs="Times New Roman"/>
          <w:color w:val="333333"/>
          <w:sz w:val="24"/>
          <w:szCs w:val="24"/>
          <w:bdr w:val="none" w:sz="0" w:space="0" w:color="auto" w:frame="1"/>
        </w:rPr>
      </w:pPr>
    </w:p>
    <w:p w:rsidR="004A0789" w:rsidRPr="002646EE" w:rsidRDefault="004A0789"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color w:val="333333"/>
          <w:sz w:val="24"/>
          <w:szCs w:val="24"/>
          <w:bdr w:val="none" w:sz="0" w:space="0" w:color="auto" w:frame="1"/>
        </w:rPr>
        <w:t xml:space="preserve">                                                          </w:t>
      </w:r>
    </w:p>
    <w:p w:rsidR="00532ECC" w:rsidRPr="002646EE" w:rsidRDefault="004A0789" w:rsidP="00CB2BBE">
      <w:pPr>
        <w:spacing w:line="360" w:lineRule="auto"/>
        <w:jc w:val="both"/>
        <w:rPr>
          <w:rFonts w:ascii="Times New Roman" w:hAnsi="Times New Roman" w:cs="Times New Roman"/>
          <w:color w:val="333333"/>
          <w:sz w:val="24"/>
          <w:szCs w:val="24"/>
          <w:bdr w:val="none" w:sz="0" w:space="0" w:color="auto" w:frame="1"/>
        </w:rPr>
      </w:pPr>
      <w:r w:rsidRPr="002646EE">
        <w:rPr>
          <w:rFonts w:ascii="Times New Roman" w:hAnsi="Times New Roman" w:cs="Times New Roman"/>
          <w:noProof/>
          <w:color w:val="333333"/>
          <w:sz w:val="24"/>
          <w:szCs w:val="24"/>
          <w:bdr w:val="none" w:sz="0" w:space="0" w:color="auto" w:frame="1"/>
          <w:lang w:eastAsia="en-IN"/>
        </w:rPr>
        <w:drawing>
          <wp:anchor distT="0" distB="0" distL="114300" distR="114300" simplePos="0" relativeHeight="251678720" behindDoc="0" locked="0" layoutInCell="1" allowOverlap="1">
            <wp:simplePos x="0" y="0"/>
            <wp:positionH relativeFrom="column">
              <wp:posOffset>3073400</wp:posOffset>
            </wp:positionH>
            <wp:positionV relativeFrom="paragraph">
              <wp:posOffset>93345</wp:posOffset>
            </wp:positionV>
            <wp:extent cx="2465705" cy="262763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5705" cy="2627630"/>
                    </a:xfrm>
                    <a:prstGeom prst="rect">
                      <a:avLst/>
                    </a:prstGeom>
                    <a:noFill/>
                  </pic:spPr>
                </pic:pic>
              </a:graphicData>
            </a:graphic>
            <wp14:sizeRelH relativeFrom="margin">
              <wp14:pctWidth>0</wp14:pctWidth>
            </wp14:sizeRelH>
            <wp14:sizeRelV relativeFrom="margin">
              <wp14:pctHeight>0</wp14:pctHeight>
            </wp14:sizeRelV>
          </wp:anchor>
        </w:drawing>
      </w:r>
    </w:p>
    <w:p w:rsidR="00532ECC" w:rsidRPr="002646EE" w:rsidRDefault="00532ECC" w:rsidP="00CB2BBE">
      <w:pPr>
        <w:spacing w:line="360" w:lineRule="auto"/>
        <w:jc w:val="both"/>
        <w:rPr>
          <w:rFonts w:ascii="Times New Roman" w:hAnsi="Times New Roman" w:cs="Times New Roman"/>
          <w:color w:val="333333"/>
          <w:sz w:val="24"/>
          <w:szCs w:val="24"/>
          <w:bdr w:val="none" w:sz="0" w:space="0" w:color="auto" w:frame="1"/>
        </w:rPr>
      </w:pPr>
    </w:p>
    <w:p w:rsidR="00532ECC" w:rsidRPr="002646EE" w:rsidRDefault="00532ECC" w:rsidP="00CB2BBE">
      <w:pPr>
        <w:spacing w:line="360" w:lineRule="auto"/>
        <w:jc w:val="both"/>
        <w:rPr>
          <w:rFonts w:ascii="Times New Roman" w:hAnsi="Times New Roman" w:cs="Times New Roman"/>
          <w:color w:val="333333"/>
          <w:sz w:val="24"/>
          <w:szCs w:val="24"/>
          <w:bdr w:val="none" w:sz="0" w:space="0" w:color="auto" w:frame="1"/>
        </w:rPr>
      </w:pPr>
    </w:p>
    <w:p w:rsidR="00532ECC" w:rsidRPr="002646EE" w:rsidRDefault="00532ECC" w:rsidP="00CB2BBE">
      <w:pPr>
        <w:spacing w:line="360" w:lineRule="auto"/>
        <w:jc w:val="both"/>
        <w:rPr>
          <w:rFonts w:ascii="Times New Roman" w:hAnsi="Times New Roman" w:cs="Times New Roman"/>
          <w:color w:val="333333"/>
          <w:sz w:val="24"/>
          <w:szCs w:val="24"/>
          <w:bdr w:val="none" w:sz="0" w:space="0" w:color="auto" w:frame="1"/>
        </w:rPr>
      </w:pPr>
    </w:p>
    <w:p w:rsidR="00532ECC" w:rsidRPr="002646EE" w:rsidRDefault="00532ECC" w:rsidP="00CB2BBE">
      <w:pPr>
        <w:spacing w:line="360" w:lineRule="auto"/>
        <w:jc w:val="both"/>
        <w:rPr>
          <w:rFonts w:ascii="Times New Roman" w:hAnsi="Times New Roman" w:cs="Times New Roman"/>
          <w:color w:val="333333"/>
          <w:sz w:val="24"/>
          <w:szCs w:val="24"/>
          <w:bdr w:val="none" w:sz="0" w:space="0" w:color="auto" w:frame="1"/>
        </w:rPr>
      </w:pPr>
    </w:p>
    <w:p w:rsidR="00CB2BBE" w:rsidRPr="002646EE" w:rsidRDefault="00CB2BBE" w:rsidP="002D6B34">
      <w:pPr>
        <w:pStyle w:val="Heading2"/>
      </w:pPr>
      <w:bookmarkStart w:id="21" w:name="_Toc171420550"/>
      <w:r w:rsidRPr="002646EE">
        <w:t>2.7 Cell culture</w:t>
      </w:r>
      <w:bookmarkEnd w:id="21"/>
    </w:p>
    <w:p w:rsidR="00CB2BBE" w:rsidRPr="002646EE" w:rsidRDefault="00CB2BBE" w:rsidP="00CB2BBE">
      <w:pPr>
        <w:pStyle w:val="NormalWeb"/>
        <w:spacing w:line="360" w:lineRule="auto"/>
        <w:jc w:val="both"/>
        <w:rPr>
          <w:rStyle w:val="NormalWebChar"/>
          <w:rFonts w:eastAsia="ArialMT"/>
        </w:rPr>
      </w:pPr>
      <w:r w:rsidRPr="002646EE">
        <w:rPr>
          <w:rFonts w:eastAsia="ArialMT"/>
        </w:rPr>
        <w:t xml:space="preserve">The intestinal secretin tumor cell line STC-1 were obtained from ATCC (American Type culture collection). This was cultured in Dulbecco Modified Eagle Medium (DMEM) containing 4.5g/l D-glucose, without sodium pyruvate) (GlutaMAX, GIBCO, Paisley, UK) supplemented with 17.5% fetal bovine serum , 100 U/ml penicillin, 100mg/l streptomycin, and incubated in a 5% CO2 humidified atmosphere at 37 degree Celsius. Cells were passaged at 80-90% confluence. </w:t>
      </w:r>
      <w:r w:rsidRPr="002646EE">
        <w:rPr>
          <w:rStyle w:val="match"/>
          <w:color w:val="333333"/>
          <w:bdr w:val="none" w:sz="0" w:space="0" w:color="auto" w:frame="1"/>
        </w:rPr>
        <w:t>STC-1 comes from special cell lines called enteroendocrine cells.</w:t>
      </w:r>
      <w:r w:rsidRPr="002646EE">
        <w:rPr>
          <w:color w:val="333333"/>
          <w:shd w:val="clear" w:color="auto" w:fill="FFFFFF"/>
        </w:rPr>
        <w:t xml:space="preserve"> </w:t>
      </w:r>
      <w:r w:rsidRPr="002646EE">
        <w:rPr>
          <w:rStyle w:val="match"/>
          <w:color w:val="333333"/>
          <w:bdr w:val="none" w:sz="0" w:space="0" w:color="auto" w:frame="1"/>
        </w:rPr>
        <w:t>STC-1 shares similarities with these natural enteroendocrine cells.</w:t>
      </w:r>
      <w:r w:rsidRPr="002646EE">
        <w:rPr>
          <w:rStyle w:val="NormalWebChar"/>
          <w:rFonts w:eastAsia="ArialMT"/>
        </w:rPr>
        <w:t xml:space="preserve"> STC-1 cells are regularly employed in screening setups to detect foods or substances that can influence the secretion of gut hormones in the laboratory. These cells are originated from the cells found in enteroendocrine tumors in mice. These tumors developed in the duodenum of mice with a specific genetic makeup, expressing the rat insulin promoter linked to the simian virus 40 large T antigen and the polyomavirus small T antigen </w:t>
      </w:r>
      <w:r w:rsidRPr="002646EE">
        <w:rPr>
          <w:rFonts w:eastAsia="ArialMT"/>
        </w:rPr>
        <w:fldChar w:fldCharType="begin"/>
      </w:r>
      <w:r w:rsidRPr="002646EE">
        <w:rPr>
          <w:rFonts w:eastAsia="ArialMT"/>
        </w:rPr>
        <w:instrText xml:space="preserve"> ADDIN ZOTERO_ITEM CSL_CITATION {"citationID":"iAHMRkhO","properties":{"formattedCitation":"(Saitoh et al., 2007)","plainCitation":"(Saitoh et al., 2007)","noteIndex":0},"citationItems":[{"id":139,"uris":["http://zotero.org/users/local/Eg2UsBJR/items/65AMSARU"],"itemData":{"id":139,"type":"article-journal","container-title":"NeuroReport","DOI":"10.1097/WNR.0b013e3282f242d3","ISSN":"0959-4965","issue":"18","language":"en","page":"1991-1995","source":"DOI.org (Crossref)","title":"Intestinal STC-1 cells respond to five basic taste stimuli","volume":"18","author":[{"family":"Saitoh","given":"Osamu"},{"family":"Hirano","given":"Atsushi"},{"family":"Nishimura","given":"Yui"}],"issued":{"date-parts":[["2007",12,3]]}}}],"schema":"https://github.com/citation-style-language/schema/raw/master/csl-citation.json"} </w:instrText>
      </w:r>
      <w:r w:rsidRPr="002646EE">
        <w:rPr>
          <w:rFonts w:eastAsia="ArialMT"/>
        </w:rPr>
        <w:fldChar w:fldCharType="separate"/>
      </w:r>
      <w:r w:rsidRPr="002646EE">
        <w:t>(Saitoh et al., 2007)</w:t>
      </w:r>
      <w:r w:rsidRPr="002646EE">
        <w:rPr>
          <w:rFonts w:eastAsia="ArialMT"/>
        </w:rPr>
        <w:fldChar w:fldCharType="end"/>
      </w:r>
      <w:r w:rsidRPr="002646EE">
        <w:rPr>
          <w:rFonts w:eastAsia="ArialMT"/>
        </w:rPr>
        <w:t xml:space="preserve">. </w:t>
      </w:r>
      <w:r w:rsidRPr="002646EE">
        <w:rPr>
          <w:rStyle w:val="match"/>
          <w:color w:val="333333"/>
          <w:bdr w:val="none" w:sz="0" w:space="0" w:color="auto" w:frame="1"/>
        </w:rPr>
        <w:t xml:space="preserve">These cells exhibit a slower growth rate </w:t>
      </w:r>
      <w:r w:rsidRPr="002646EE">
        <w:rPr>
          <w:rStyle w:val="match"/>
          <w:color w:val="333333"/>
          <w:bdr w:val="none" w:sz="0" w:space="0" w:color="auto" w:frame="1"/>
        </w:rPr>
        <w:lastRenderedPageBreak/>
        <w:t>compared to other cell lines.</w:t>
      </w:r>
      <w:r w:rsidRPr="002646EE">
        <w:rPr>
          <w:color w:val="333333"/>
          <w:shd w:val="clear" w:color="auto" w:fill="FFFFFF"/>
        </w:rPr>
        <w:t xml:space="preserve"> </w:t>
      </w:r>
      <w:r w:rsidRPr="002646EE">
        <w:rPr>
          <w:rStyle w:val="match"/>
          <w:color w:val="333333"/>
          <w:bdr w:val="none" w:sz="0" w:space="0" w:color="auto" w:frame="1"/>
        </w:rPr>
        <w:t>In reaction to hormonal, neural, and nutrient cues, these cells secrete gut hormones like cholecystokinin (CCK), glucagon-like peptide-1 (GLP-1), and peptide YY (PYY), glucose-dependent insulinotropic peptides (GIP), pancreatic polypeptide</w:t>
      </w:r>
      <w:r w:rsidRPr="002646EE">
        <w:rPr>
          <w:color w:val="333333"/>
          <w:shd w:val="clear" w:color="auto" w:fill="FFFFFF"/>
        </w:rPr>
        <w:t xml:space="preserve"> </w:t>
      </w:r>
      <w:r w:rsidRPr="002646EE">
        <w:rPr>
          <w:rStyle w:val="match"/>
          <w:color w:val="333333"/>
          <w:bdr w:val="none" w:sz="0" w:space="0" w:color="auto" w:frame="1"/>
        </w:rPr>
        <w:t>neurotensin, and proglucogon derivatives like glucagon-like peptide-2 (GLP-2), which helps to reduce hunger and manage food intake and metabolism (McCarthy et al., 2015).</w:t>
      </w:r>
      <w:r w:rsidRPr="002646EE">
        <w:rPr>
          <w:color w:val="333333"/>
          <w:shd w:val="clear" w:color="auto" w:fill="FFFFFF"/>
        </w:rPr>
        <w:t xml:space="preserve"> </w:t>
      </w:r>
    </w:p>
    <w:p w:rsidR="00CB2BBE" w:rsidRPr="002646EE" w:rsidRDefault="00CB2BBE" w:rsidP="00CB2BBE">
      <w:pPr>
        <w:pStyle w:val="NormalWeb"/>
        <w:spacing w:line="360" w:lineRule="auto"/>
        <w:jc w:val="both"/>
        <w:rPr>
          <w:rStyle w:val="NormalWebChar"/>
          <w:rFonts w:eastAsia="ArialMT"/>
        </w:rPr>
      </w:pPr>
      <w:r w:rsidRPr="002646EE">
        <w:rPr>
          <w:rFonts w:eastAsia="ArialMT"/>
        </w:rPr>
        <w:t xml:space="preserve">Human epithelial colorectal adenocarcinoma (Caco2) cells were obtained from NCCS(National centre for cell sciences), were maintained in a Minimal Essential Medium (MEM) containing  amino acids and fetal bovine serum. </w:t>
      </w:r>
      <w:r w:rsidRPr="002646EE">
        <w:rPr>
          <w:rStyle w:val="NormalWebChar"/>
          <w:rFonts w:eastAsia="ArialMT"/>
        </w:rPr>
        <w:t xml:space="preserve">The Caco-2 cell line, originally derived from a colon carcinoma, offers insights into the biological and biochemical basis of the intestinal mucosa's barrier properties. It can also provide valuable information on the absorption of drugs and dietary components, relevant to both the pharmaceutical and food industries. This cell line is instrumental in elucidating pathways for drug transport, studying the potential toxic effects of drug candidates or food metabolites on the intestinal mucosa, and investigating the mechanisms and effects of bioactive compounds on the barrier function of the intestinal epithelium </w:t>
      </w:r>
      <w:r w:rsidRPr="002646EE">
        <w:rPr>
          <w:rStyle w:val="NormalWebChar"/>
          <w:rFonts w:eastAsia="ArialMT"/>
        </w:rPr>
        <w:fldChar w:fldCharType="begin"/>
      </w:r>
      <w:r w:rsidRPr="002646EE">
        <w:rPr>
          <w:rStyle w:val="NormalWebChar"/>
          <w:rFonts w:eastAsia="ArialMT"/>
        </w:rPr>
        <w:instrText xml:space="preserve"> ADDIN ZOTERO_ITEM CSL_CITATION {"citationID":"jSECryKO","properties":{"formattedCitation":"(Lea, 2015)","plainCitation":"(Lea, 2015)","noteIndex":0},"citationItems":[{"id":310,"uris":["http://zotero.org/users/local/Eg2UsBJR/items/HFIB4DU8"],"itemData":{"id":310,"type":"chapter","container-title":"The Impact of Food Bioactives on Health","event-place":"Cham","ISBN":"978-3-319-15791-7","language":"en","note":"DOI: 10.1007/978-3-319-16104-4_10","page":"103-111","publisher":"Springer International Publishing","publisher-place":"Cham","source":"DOI.org (Crossref)","title":"Caco-2 Cell Line","URL":"http://link.springer.com/10.1007/978-3-319-16104-4_10","editor":[{"family":"Verhoeckx","given":"Kitty"},{"family":"Cotter","given":"Paul"},{"family":"López-Expósito","given":"Iván"},{"family":"Kleiveland","given":"Charlotte"},{"family":"Lea","given":"Tor"},{"family":"Mackie","given":"Alan"},{"family":"Requena","given":"Teresa"},{"family":"Swiatecka","given":"Dominika"},{"family":"Wichers","given":"Harry"}],"author":[{"family":"Lea","given":"Tor"}],"accessed":{"date-parts":[["2024",6,16]]},"issued":{"date-parts":[["2015"]]}}}],"schema":"https://github.com/citation-style-language/schema/raw/master/csl-citation.json"} </w:instrText>
      </w:r>
      <w:r w:rsidRPr="002646EE">
        <w:rPr>
          <w:rStyle w:val="NormalWebChar"/>
          <w:rFonts w:eastAsia="ArialMT"/>
        </w:rPr>
        <w:fldChar w:fldCharType="separate"/>
      </w:r>
      <w:r w:rsidRPr="002646EE">
        <w:t>(Lea, 2015)</w:t>
      </w:r>
      <w:r w:rsidRPr="002646EE">
        <w:rPr>
          <w:rStyle w:val="NormalWebChar"/>
          <w:rFonts w:eastAsia="ArialMT"/>
        </w:rPr>
        <w:fldChar w:fldCharType="end"/>
      </w:r>
      <w:r w:rsidRPr="002646EE">
        <w:rPr>
          <w:rStyle w:val="NormalWebChar"/>
          <w:rFonts w:eastAsia="ArialMT"/>
        </w:rPr>
        <w:t>.</w:t>
      </w:r>
    </w:p>
    <w:p w:rsidR="00CB2BBE" w:rsidRPr="002646EE" w:rsidRDefault="00CB2BBE" w:rsidP="00CB2BBE">
      <w:pPr>
        <w:autoSpaceDE w:val="0"/>
        <w:autoSpaceDN w:val="0"/>
        <w:adjustRightInd w:val="0"/>
        <w:spacing w:after="0" w:line="360" w:lineRule="auto"/>
        <w:jc w:val="both"/>
        <w:rPr>
          <w:rStyle w:val="NormalWebChar"/>
          <w:rFonts w:eastAsia="ArialMT"/>
        </w:rPr>
      </w:pPr>
    </w:p>
    <w:p w:rsidR="00CB2BBE" w:rsidRPr="002646EE" w:rsidRDefault="00CB2BBE" w:rsidP="002D6B34">
      <w:pPr>
        <w:pStyle w:val="Heading2"/>
      </w:pPr>
      <w:bookmarkStart w:id="22" w:name="_Toc171420551"/>
      <w:r w:rsidRPr="002646EE">
        <w:t>2.8 MTT assay</w:t>
      </w:r>
      <w:bookmarkEnd w:id="22"/>
    </w:p>
    <w:p w:rsidR="00CB2BBE" w:rsidRPr="002646EE" w:rsidRDefault="00CB2BBE" w:rsidP="00532ECC">
      <w:pPr>
        <w:pStyle w:val="Heading3"/>
        <w:rPr>
          <w:rFonts w:ascii="Times New Roman" w:hAnsi="Times New Roman" w:cs="Times New Roman"/>
        </w:rPr>
      </w:pPr>
      <w:bookmarkStart w:id="23" w:name="_Toc171420552"/>
      <w:r w:rsidRPr="002646EE">
        <w:rPr>
          <w:rFonts w:ascii="Times New Roman" w:hAnsi="Times New Roman" w:cs="Times New Roman"/>
        </w:rPr>
        <w:t>STC-1 cell viability on NK and VA  treatment.</w:t>
      </w:r>
      <w:bookmarkEnd w:id="23"/>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STC-1 cells were seeded into a 96-well plate, count as mentioned above. The cells were incubated at 37</w:t>
      </w:r>
      <w:r w:rsidRPr="002646EE">
        <w:rPr>
          <w:rFonts w:ascii="Gadugi" w:eastAsia="ArialMT" w:hAnsi="Gadugi" w:cs="Gadugi"/>
          <w:color w:val="000000" w:themeColor="text1"/>
          <w:sz w:val="24"/>
          <w:szCs w:val="24"/>
        </w:rPr>
        <w:t>ᐤ</w:t>
      </w:r>
      <w:r w:rsidRPr="002646EE">
        <w:rPr>
          <w:rFonts w:ascii="Times New Roman" w:eastAsia="ArialMT" w:hAnsi="Times New Roman" w:cs="Times New Roman"/>
          <w:color w:val="000000" w:themeColor="text1"/>
          <w:sz w:val="24"/>
          <w:szCs w:val="24"/>
        </w:rPr>
        <w:t>c in a 5% carbon dioxide humidified incubator for 4 days to allow the attachment, growth, and 80-90% confluency.</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Fonts w:ascii="Times New Roman" w:eastAsia="ArialMT" w:hAnsi="Times New Roman" w:cs="Times New Roman"/>
          <w:color w:val="000000" w:themeColor="text1"/>
          <w:sz w:val="24"/>
          <w:szCs w:val="24"/>
        </w:rPr>
        <w:t>After the cells was attached, different concentrations of NK and VA (8µg/ml, 4µgm/ml, 2µg/ml, 1µg/ml, 0.5µg/ml, 0.25µg/ml, and 0.125µg/ml) was added to the wells. The cells were then incubated for 2 hours.</w:t>
      </w:r>
    </w:p>
    <w:p w:rsidR="002A5FE7" w:rsidRPr="002646EE" w:rsidRDefault="00CB2BBE" w:rsidP="00CB2BBE">
      <w:pPr>
        <w:autoSpaceDE w:val="0"/>
        <w:autoSpaceDN w:val="0"/>
        <w:adjustRightInd w:val="0"/>
        <w:spacing w:after="0" w:line="360" w:lineRule="auto"/>
        <w:jc w:val="both"/>
        <w:rPr>
          <w:rFonts w:ascii="Times New Roman" w:eastAsia="ArialMT" w:hAnsi="Times New Roman" w:cs="Times New Roman"/>
          <w:b/>
          <w:color w:val="000000" w:themeColor="text1"/>
          <w:sz w:val="24"/>
          <w:szCs w:val="24"/>
        </w:rPr>
      </w:pPr>
      <w:r w:rsidRPr="002646EE">
        <w:rPr>
          <w:rFonts w:ascii="Times New Roman" w:eastAsia="ArialMT" w:hAnsi="Times New Roman" w:cs="Times New Roman"/>
          <w:color w:val="000000" w:themeColor="text1"/>
          <w:sz w:val="24"/>
          <w:szCs w:val="24"/>
        </w:rPr>
        <w:t>Following the incubation period, the MTT assay was performed. A 0.5mg/ml MTT dye solution was added to each well. The cells was incubated for 4 hours at 37</w:t>
      </w:r>
      <w:r w:rsidRPr="002646EE">
        <w:rPr>
          <w:rFonts w:ascii="Gadugi" w:eastAsia="ArialMT" w:hAnsi="Gadugi" w:cs="Gadugi"/>
          <w:color w:val="000000" w:themeColor="text1"/>
          <w:sz w:val="24"/>
          <w:szCs w:val="24"/>
        </w:rPr>
        <w:t>ᐤ</w:t>
      </w:r>
      <w:r w:rsidRPr="002646EE">
        <w:rPr>
          <w:rFonts w:ascii="Times New Roman" w:eastAsia="ArialMT" w:hAnsi="Times New Roman" w:cs="Times New Roman"/>
          <w:color w:val="000000" w:themeColor="text1"/>
          <w:sz w:val="24"/>
          <w:szCs w:val="24"/>
        </w:rPr>
        <w:t xml:space="preserve">c and 5% carbon dioxide to allow the formation of formazan crystals. After the incubation, the medium was removed, and the formazan precipitate was solubilized in dimethyl sulfoxide (DMSO). The absorbance of the solubilized formazan was measured at 570nm using a microplate reader. </w:t>
      </w:r>
    </w:p>
    <w:p w:rsidR="00214CEF" w:rsidRPr="002646EE" w:rsidRDefault="00214CEF" w:rsidP="00532ECC">
      <w:pPr>
        <w:pStyle w:val="Heading3"/>
        <w:rPr>
          <w:rFonts w:ascii="Times New Roman" w:hAnsi="Times New Roman" w:cs="Times New Roman"/>
          <w:color w:val="000000" w:themeColor="text1"/>
        </w:rPr>
      </w:pPr>
    </w:p>
    <w:p w:rsidR="00A72788" w:rsidRDefault="00A72788" w:rsidP="00532ECC">
      <w:pPr>
        <w:pStyle w:val="Heading3"/>
        <w:rPr>
          <w:rFonts w:ascii="Times New Roman" w:hAnsi="Times New Roman" w:cs="Times New Roman"/>
        </w:rPr>
      </w:pPr>
    </w:p>
    <w:p w:rsidR="00A72788" w:rsidRDefault="00A72788" w:rsidP="00532ECC">
      <w:pPr>
        <w:pStyle w:val="Heading3"/>
        <w:rPr>
          <w:rFonts w:ascii="Times New Roman" w:hAnsi="Times New Roman" w:cs="Times New Roman"/>
        </w:rPr>
      </w:pPr>
    </w:p>
    <w:p w:rsidR="00A72788" w:rsidRDefault="00A72788" w:rsidP="00532ECC">
      <w:pPr>
        <w:pStyle w:val="Heading3"/>
        <w:rPr>
          <w:rFonts w:ascii="Times New Roman" w:hAnsi="Times New Roman" w:cs="Times New Roman"/>
        </w:rPr>
      </w:pPr>
    </w:p>
    <w:p w:rsidR="00CB2BBE" w:rsidRPr="00A72788" w:rsidRDefault="00CB2BBE" w:rsidP="00532ECC">
      <w:pPr>
        <w:pStyle w:val="Heading3"/>
        <w:rPr>
          <w:rStyle w:val="NormalWebChar"/>
          <w:rFonts w:eastAsia="ArialMT"/>
          <w:lang w:eastAsia="en-US"/>
        </w:rPr>
      </w:pPr>
      <w:bookmarkStart w:id="24" w:name="_Toc171420553"/>
      <w:r w:rsidRPr="002646EE">
        <w:rPr>
          <w:rFonts w:ascii="Times New Roman" w:hAnsi="Times New Roman" w:cs="Times New Roman"/>
        </w:rPr>
        <w:t>Preparation of 5mM PA</w:t>
      </w:r>
      <w:bookmarkEnd w:id="24"/>
      <w:r w:rsidRPr="002646EE">
        <w:rPr>
          <w:rFonts w:ascii="Times New Roman" w:hAnsi="Times New Roman" w:cs="Times New Roman"/>
        </w:rPr>
        <w:t xml:space="preserve"> </w:t>
      </w: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sz w:val="24"/>
          <w:szCs w:val="24"/>
          <w:u w:val="single"/>
        </w:rPr>
      </w:pPr>
      <w:r w:rsidRPr="002646EE">
        <w:rPr>
          <w:rStyle w:val="NormalWebChar"/>
          <w:rFonts w:eastAsia="ArialMT"/>
        </w:rPr>
        <w:t>Set the water bath at 70</w:t>
      </w:r>
      <w:r w:rsidRPr="002646EE">
        <w:rPr>
          <w:rFonts w:ascii="Gadugi" w:eastAsia="ArialMT" w:hAnsi="Gadugi" w:cs="Gadugi"/>
          <w:sz w:val="24"/>
          <w:szCs w:val="24"/>
        </w:rPr>
        <w:t>ᐤ</w:t>
      </w:r>
      <w:r w:rsidRPr="002646EE">
        <w:rPr>
          <w:rStyle w:val="NormalWebChar"/>
          <w:rFonts w:eastAsia="ArialMT"/>
        </w:rPr>
        <w:t>c temperature</w:t>
      </w:r>
      <w:r w:rsidRPr="002646EE">
        <w:rPr>
          <w:rFonts w:ascii="Times New Roman" w:eastAsia="ArialMT" w:hAnsi="Times New Roman" w:cs="Times New Roman"/>
          <w:sz w:val="24"/>
          <w:szCs w:val="24"/>
          <w:u w:val="single"/>
        </w:rPr>
        <w:t xml:space="preserve">, </w:t>
      </w:r>
      <w:r w:rsidRPr="002646EE">
        <w:rPr>
          <w:rStyle w:val="NormalWebChar"/>
          <w:rFonts w:eastAsia="ArialMT"/>
        </w:rPr>
        <w:t>shaker at 40</w:t>
      </w:r>
      <w:r w:rsidRPr="002646EE">
        <w:rPr>
          <w:rFonts w:ascii="Gadugi" w:eastAsia="ArialMT" w:hAnsi="Gadugi" w:cs="Gadugi"/>
          <w:sz w:val="24"/>
          <w:szCs w:val="24"/>
        </w:rPr>
        <w:t>ᐤ</w:t>
      </w:r>
      <w:r w:rsidRPr="002646EE">
        <w:rPr>
          <w:rStyle w:val="NormalWebChar"/>
          <w:rFonts w:eastAsia="ArialMT"/>
        </w:rPr>
        <w:t>c temperature.</w:t>
      </w:r>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Style w:val="NormalWebChar"/>
          <w:rFonts w:eastAsia="ArialMT"/>
        </w:rPr>
        <w:t>Aliquote 1ml of 100Mm palmitate in 1.5ml eppendorf tube. Once the water bath temperature reaches 70</w:t>
      </w:r>
      <w:r w:rsidRPr="002646EE">
        <w:rPr>
          <w:rFonts w:ascii="Gadugi" w:eastAsia="ArialMT" w:hAnsi="Gadugi" w:cs="Gadugi"/>
          <w:sz w:val="24"/>
          <w:szCs w:val="24"/>
        </w:rPr>
        <w:t>ᐤ</w:t>
      </w:r>
      <w:r w:rsidRPr="002646EE">
        <w:rPr>
          <w:rStyle w:val="NormalWebChar"/>
          <w:rFonts w:eastAsia="ArialMT"/>
        </w:rPr>
        <w:t>c place the above Eppendorf tube in the water bath with a floater for 30 minutes (till it liquifies). Then aliquots 9.5 ml of prepared 5% BSA MEM media in a 15 ml tube inside the LAF. Once palmitate is liquefied add this 1 ml of PA into 9.5ml of aliquot ted 5%BSA MEM media. Place the 15 ml tube in a shaker inside the beaker for 1 hour at 140 speed and 40</w:t>
      </w:r>
      <w:r w:rsidRPr="002646EE">
        <w:rPr>
          <w:rFonts w:ascii="Gadugi" w:eastAsia="ArialMT" w:hAnsi="Gadugi" w:cs="Gadugi"/>
          <w:sz w:val="24"/>
          <w:szCs w:val="24"/>
        </w:rPr>
        <w:t>ᐤ</w:t>
      </w:r>
      <w:r w:rsidRPr="002646EE">
        <w:rPr>
          <w:rStyle w:val="NormalWebChar"/>
          <w:rFonts w:eastAsia="ArialMT"/>
        </w:rPr>
        <w:t xml:space="preserve"> c temperature. After 1 hour take out the tube and filter the prepared 5milimolar PA in LAF. </w:t>
      </w:r>
    </w:p>
    <w:p w:rsidR="00CB2BBE" w:rsidRPr="002646EE" w:rsidRDefault="00CB2BBE" w:rsidP="00CB2BBE">
      <w:pPr>
        <w:autoSpaceDE w:val="0"/>
        <w:autoSpaceDN w:val="0"/>
        <w:adjustRightInd w:val="0"/>
        <w:spacing w:after="0" w:line="360" w:lineRule="auto"/>
        <w:jc w:val="both"/>
        <w:rPr>
          <w:rStyle w:val="NormalWebChar"/>
          <w:rFonts w:eastAsia="ArialMT"/>
        </w:rPr>
      </w:pPr>
    </w:p>
    <w:p w:rsidR="00CB2BBE" w:rsidRPr="002646EE" w:rsidRDefault="00CB2BBE" w:rsidP="00532ECC">
      <w:pPr>
        <w:pStyle w:val="Heading3"/>
        <w:rPr>
          <w:rFonts w:ascii="Times New Roman" w:hAnsi="Times New Roman" w:cs="Times New Roman"/>
          <w:lang w:eastAsia="en-IN"/>
        </w:rPr>
      </w:pPr>
      <w:bookmarkStart w:id="25" w:name="_Toc171420554"/>
      <w:r w:rsidRPr="002646EE">
        <w:rPr>
          <w:rFonts w:ascii="Times New Roman" w:hAnsi="Times New Roman" w:cs="Times New Roman"/>
        </w:rPr>
        <w:t>Caco-2 cell viability on co-treatment of PA &amp;NK</w:t>
      </w:r>
      <w:bookmarkEnd w:id="25"/>
    </w:p>
    <w:p w:rsidR="00CB2BBE" w:rsidRPr="002646EE" w:rsidRDefault="00CB2BBE" w:rsidP="00214CEF">
      <w:pPr>
        <w:autoSpaceDE w:val="0"/>
        <w:autoSpaceDN w:val="0"/>
        <w:adjustRightInd w:val="0"/>
        <w:spacing w:after="0" w:line="360" w:lineRule="auto"/>
        <w:jc w:val="both"/>
        <w:rPr>
          <w:rStyle w:val="NormalWebChar"/>
          <w:rFonts w:eastAsia="ArialMT"/>
        </w:rPr>
      </w:pPr>
      <w:r w:rsidRPr="002646EE">
        <w:rPr>
          <w:rStyle w:val="NormalWebChar"/>
          <w:rFonts w:eastAsia="ArialMT"/>
        </w:rPr>
        <w:t>Caco-2 cells were seeded into a 96-well plate and counted as mentioned above. The cells were incubated at 37</w:t>
      </w:r>
      <w:r w:rsidRPr="002646EE">
        <w:rPr>
          <w:rFonts w:ascii="Gadugi" w:eastAsia="ArialMT" w:hAnsi="Gadugi" w:cs="Gadugi"/>
          <w:sz w:val="24"/>
          <w:szCs w:val="24"/>
        </w:rPr>
        <w:t>ᐤ</w:t>
      </w:r>
      <w:r w:rsidRPr="002646EE">
        <w:rPr>
          <w:rStyle w:val="NormalWebChar"/>
          <w:rFonts w:eastAsia="ArialMT"/>
        </w:rPr>
        <w:t>c in a 5% carbon dioxide humidified incubator for 24 hours to allow attachment, growth, and 80-90% confluency.</w:t>
      </w:r>
    </w:p>
    <w:p w:rsidR="00CB2BBE" w:rsidRPr="002646EE" w:rsidRDefault="00CB2BBE" w:rsidP="00214CEF">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eastAsia="ArialMT" w:hAnsi="Times New Roman" w:cs="Times New Roman"/>
          <w:sz w:val="24"/>
          <w:szCs w:val="24"/>
        </w:rPr>
        <w:t>After the cells were attached,different concentrations of palmitate (0.125mM,0.25mM,0.5mM,1mM) were added to the wells. The cells were then incubated for 24HRS. After 24 hours of incubation, the media was removed followed by the addition of different concentrations of NK(8µg/ml,4µg/ml,2µg/ml,1µg/ml,0.5µg/ml,0.125µg/ml). The cells were then incubated for 24 hours.</w:t>
      </w:r>
    </w:p>
    <w:p w:rsidR="00CB2BBE" w:rsidRPr="002646EE" w:rsidRDefault="00CB2BBE" w:rsidP="00214CEF">
      <w:pPr>
        <w:autoSpaceDE w:val="0"/>
        <w:autoSpaceDN w:val="0"/>
        <w:adjustRightInd w:val="0"/>
        <w:spacing w:after="0" w:line="360" w:lineRule="auto"/>
        <w:jc w:val="both"/>
        <w:rPr>
          <w:rFonts w:ascii="Times New Roman" w:eastAsia="ArialMT" w:hAnsi="Times New Roman" w:cs="Times New Roman"/>
          <w:color w:val="000000"/>
          <w:sz w:val="24"/>
          <w:szCs w:val="24"/>
        </w:rPr>
      </w:pPr>
      <w:r w:rsidRPr="002646EE">
        <w:rPr>
          <w:rStyle w:val="NormalWebChar"/>
          <w:rFonts w:eastAsia="ArialMT"/>
        </w:rPr>
        <w:t>Following the incubation period, the MTT assay was performed. A 0.5mg/ml MTT dye solution was added to each well. The cells were incubated for 4 hours at 37</w:t>
      </w:r>
      <w:r w:rsidRPr="002646EE">
        <w:rPr>
          <w:rFonts w:ascii="Gadugi" w:eastAsia="ArialMT" w:hAnsi="Gadugi" w:cs="Gadugi"/>
          <w:sz w:val="24"/>
          <w:szCs w:val="24"/>
        </w:rPr>
        <w:t>ᐤ</w:t>
      </w:r>
      <w:r w:rsidRPr="002646EE">
        <w:rPr>
          <w:rStyle w:val="NormalWebChar"/>
          <w:rFonts w:eastAsia="ArialMT"/>
        </w:rPr>
        <w:t>c and 5% carbon dioxide to allow the formation of formazan crystals. After the incubation, the medium was removed, and the formazan precipitate was solubilized in dimethyl sulfoxide (DMSO). The absorbance of the solubilized formazan was measured at 570nm using a microplate reader. DMSO was added to the wells to facilitate solubilizatio</w:t>
      </w:r>
      <w:r w:rsidRPr="002646EE">
        <w:rPr>
          <w:rFonts w:ascii="Times New Roman" w:eastAsia="ArialMT" w:hAnsi="Times New Roman" w:cs="Times New Roman"/>
          <w:color w:val="000000"/>
          <w:sz w:val="24"/>
          <w:szCs w:val="24"/>
        </w:rPr>
        <w:t>n</w:t>
      </w:r>
      <w:r w:rsidR="0073253F" w:rsidRPr="002646EE">
        <w:rPr>
          <w:rFonts w:ascii="Times New Roman" w:eastAsia="ArialMT" w:hAnsi="Times New Roman" w:cs="Times New Roman"/>
          <w:color w:val="000000"/>
          <w:sz w:val="24"/>
          <w:szCs w:val="24"/>
        </w:rPr>
        <w:t>.</w:t>
      </w:r>
    </w:p>
    <w:p w:rsidR="0073253F" w:rsidRPr="002646EE" w:rsidRDefault="0073253F" w:rsidP="00532ECC">
      <w:pPr>
        <w:pStyle w:val="Heading3"/>
        <w:rPr>
          <w:rFonts w:ascii="Times New Roman" w:hAnsi="Times New Roman" w:cs="Times New Roman"/>
        </w:rPr>
      </w:pPr>
    </w:p>
    <w:p w:rsidR="00CB2BBE" w:rsidRPr="002646EE" w:rsidRDefault="00CB2BBE" w:rsidP="00532ECC">
      <w:pPr>
        <w:pStyle w:val="Heading3"/>
        <w:rPr>
          <w:rStyle w:val="NormalWebChar"/>
          <w:rFonts w:eastAsia="ArialMT"/>
        </w:rPr>
      </w:pPr>
      <w:bookmarkStart w:id="26" w:name="_Toc171420555"/>
      <w:r w:rsidRPr="002646EE">
        <w:rPr>
          <w:rFonts w:ascii="Times New Roman" w:hAnsi="Times New Roman" w:cs="Times New Roman"/>
        </w:rPr>
        <w:t>Caco-2 cell viability on co-treatment of PA &amp;VA</w:t>
      </w:r>
      <w:bookmarkEnd w:id="26"/>
    </w:p>
    <w:p w:rsidR="004E54C7" w:rsidRPr="002646EE" w:rsidRDefault="00CB2BBE" w:rsidP="00E1701B">
      <w:pPr>
        <w:autoSpaceDE w:val="0"/>
        <w:autoSpaceDN w:val="0"/>
        <w:adjustRightInd w:val="0"/>
        <w:spacing w:after="0" w:line="360" w:lineRule="auto"/>
        <w:jc w:val="both"/>
        <w:rPr>
          <w:rStyle w:val="NormalWebChar"/>
          <w:rFonts w:eastAsia="ArialMT"/>
        </w:rPr>
      </w:pPr>
      <w:r w:rsidRPr="002646EE">
        <w:rPr>
          <w:rStyle w:val="NormalWebChar"/>
          <w:rFonts w:eastAsia="ArialMT"/>
        </w:rPr>
        <w:t>Caco-2 cells were seeded into a 96-well plate and counted as mentioned above. The cells were incubated at 37</w:t>
      </w:r>
      <w:r w:rsidRPr="002646EE">
        <w:rPr>
          <w:rFonts w:ascii="Gadugi" w:eastAsia="ArialMT" w:hAnsi="Gadugi" w:cs="Gadugi"/>
          <w:sz w:val="24"/>
          <w:szCs w:val="24"/>
        </w:rPr>
        <w:t>ᐤ</w:t>
      </w:r>
      <w:r w:rsidRPr="002646EE">
        <w:rPr>
          <w:rStyle w:val="NormalWebChar"/>
          <w:rFonts w:eastAsia="ArialMT"/>
        </w:rPr>
        <w:t xml:space="preserve">c in a 5% carbon dioxide humidified incubator for 24 hours to allow attachment, growth, and 80-90%confluency. After the cells were attached, different concentrations of palmitate (0.125mM,0.25mM,0.5mM,1mM) were added to the wells. The </w:t>
      </w:r>
      <w:r w:rsidRPr="002646EE">
        <w:rPr>
          <w:rStyle w:val="NormalWebChar"/>
          <w:rFonts w:eastAsia="ArialMT"/>
        </w:rPr>
        <w:lastRenderedPageBreak/>
        <w:t>cells were then incubated for 24HRS. After 24 hours of incubation, the media was removed followed by the addition of different concentrations of VA(8µg/ml,4µg/ml,2µg/ml,1µg/ml,0.5µg/ml,0.125µg/ml). The cells were then incubated for 24 hours.</w:t>
      </w:r>
      <w:r w:rsidR="00C042D6" w:rsidRPr="002646EE">
        <w:rPr>
          <w:rStyle w:val="NormalWebChar"/>
          <w:rFonts w:eastAsia="ArialMT"/>
        </w:rPr>
        <w:t xml:space="preserve"> </w:t>
      </w:r>
      <w:r w:rsidRPr="002646EE">
        <w:rPr>
          <w:rStyle w:val="NormalWebChar"/>
          <w:rFonts w:eastAsia="ArialMT"/>
        </w:rPr>
        <w:t>Following the incubation period, the MTT assay was performed. A 0.5mg/ml MTT dye solution was added to each well. The cells were incubated for 4 hours at 37</w:t>
      </w:r>
      <w:r w:rsidRPr="002646EE">
        <w:rPr>
          <w:rFonts w:ascii="Gadugi" w:eastAsia="ArialMT" w:hAnsi="Gadugi" w:cs="Gadugi"/>
          <w:sz w:val="24"/>
          <w:szCs w:val="24"/>
        </w:rPr>
        <w:t>ᐤ</w:t>
      </w:r>
      <w:r w:rsidRPr="002646EE">
        <w:rPr>
          <w:rStyle w:val="NormalWebChar"/>
          <w:rFonts w:eastAsia="ArialMT"/>
        </w:rPr>
        <w:t>c and 5% carbon dioxide to allow the formation of formazan crystals. After the incubation, the medium was removed, and the formazan precipitate was solubilized in dimethyl sulfoxide (DMSO). The absorbance of the solubilized formazan was measured at 570nm using a microplate reader. DMSO was added to the wells to facilitate solubilizatio</w:t>
      </w:r>
      <w:r w:rsidR="00E1701B" w:rsidRPr="002646EE">
        <w:rPr>
          <w:rStyle w:val="NormalWebChar"/>
          <w:rFonts w:eastAsia="ArialMT"/>
        </w:rPr>
        <w:t>n.</w:t>
      </w:r>
    </w:p>
    <w:p w:rsidR="00037779" w:rsidRPr="002646EE" w:rsidRDefault="00037779" w:rsidP="00E1701B">
      <w:pPr>
        <w:autoSpaceDE w:val="0"/>
        <w:autoSpaceDN w:val="0"/>
        <w:adjustRightInd w:val="0"/>
        <w:spacing w:after="0" w:line="360" w:lineRule="auto"/>
        <w:jc w:val="both"/>
        <w:rPr>
          <w:rStyle w:val="NormalWebChar"/>
          <w:rFonts w:eastAsia="ArialMT"/>
        </w:rPr>
      </w:pPr>
    </w:p>
    <w:p w:rsidR="00037779" w:rsidRPr="002646EE" w:rsidRDefault="00037779" w:rsidP="00E1701B">
      <w:pPr>
        <w:autoSpaceDE w:val="0"/>
        <w:autoSpaceDN w:val="0"/>
        <w:adjustRightInd w:val="0"/>
        <w:spacing w:after="0" w:line="360" w:lineRule="auto"/>
        <w:jc w:val="both"/>
        <w:rPr>
          <w:rStyle w:val="NormalWebChar"/>
          <w:rFonts w:eastAsia="ArialMT"/>
          <w:b/>
        </w:rPr>
      </w:pPr>
      <w:r w:rsidRPr="002646EE">
        <w:rPr>
          <w:rStyle w:val="NormalWebChar"/>
          <w:rFonts w:eastAsia="ArialMT"/>
          <w:b/>
        </w:rPr>
        <w:t xml:space="preserve">Cell lines after DMSO addition </w:t>
      </w:r>
    </w:p>
    <w:p w:rsidR="00037779" w:rsidRPr="002646EE" w:rsidRDefault="00037779" w:rsidP="00E1701B">
      <w:pPr>
        <w:autoSpaceDE w:val="0"/>
        <w:autoSpaceDN w:val="0"/>
        <w:adjustRightInd w:val="0"/>
        <w:spacing w:after="0" w:line="360" w:lineRule="auto"/>
        <w:jc w:val="both"/>
        <w:rPr>
          <w:rStyle w:val="NormalWebChar"/>
          <w:rFonts w:eastAsia="ArialMT"/>
        </w:rPr>
      </w:pPr>
      <w:r w:rsidRPr="002646EE">
        <w:rPr>
          <w:rFonts w:ascii="Times New Roman" w:hAnsi="Times New Roman" w:cs="Times New Roman"/>
          <w:noProof/>
          <w:sz w:val="24"/>
          <w:szCs w:val="24"/>
          <w:lang w:eastAsia="en-IN"/>
        </w:rPr>
        <w:drawing>
          <wp:inline distT="0" distB="0" distL="0" distR="0" wp14:anchorId="1BFA71AD" wp14:editId="71E7ADC5">
            <wp:extent cx="3627120" cy="2712720"/>
            <wp:effectExtent l="0" t="0" r="0" b="0"/>
            <wp:docPr id="2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5" name="Picture 1"/>
                    <pic:cNvPicPr>
                      <a:picLocks noChangeAspect="1"/>
                    </pic:cNvPicPr>
                  </pic:nvPicPr>
                  <pic:blipFill>
                    <a:blip r:embed="rId20"/>
                    <a:stretch>
                      <a:fillRect/>
                    </a:stretch>
                  </pic:blipFill>
                  <pic:spPr>
                    <a:xfrm>
                      <a:off x="0" y="0"/>
                      <a:ext cx="3627120" cy="2712720"/>
                    </a:xfrm>
                    <a:prstGeom prst="rect">
                      <a:avLst/>
                    </a:prstGeom>
                    <a:noFill/>
                    <a:ln w="9525">
                      <a:noFill/>
                    </a:ln>
                  </pic:spPr>
                </pic:pic>
              </a:graphicData>
            </a:graphic>
          </wp:inline>
        </w:drawing>
      </w:r>
    </w:p>
    <w:p w:rsidR="00037779" w:rsidRPr="002646EE" w:rsidRDefault="00037779" w:rsidP="00E1701B">
      <w:pPr>
        <w:autoSpaceDE w:val="0"/>
        <w:autoSpaceDN w:val="0"/>
        <w:adjustRightInd w:val="0"/>
        <w:spacing w:after="0" w:line="360" w:lineRule="auto"/>
        <w:jc w:val="both"/>
        <w:rPr>
          <w:rStyle w:val="NormalWebChar"/>
          <w:rFonts w:eastAsia="ArialMT"/>
        </w:rPr>
      </w:pPr>
    </w:p>
    <w:p w:rsidR="001E505F" w:rsidRDefault="00037779" w:rsidP="001E505F">
      <w:pPr>
        <w:autoSpaceDE w:val="0"/>
        <w:autoSpaceDN w:val="0"/>
        <w:adjustRightInd w:val="0"/>
        <w:spacing w:after="0" w:line="360" w:lineRule="auto"/>
        <w:jc w:val="both"/>
        <w:rPr>
          <w:rStyle w:val="NormalWebChar"/>
          <w:rFonts w:eastAsia="ArialMT"/>
        </w:rPr>
      </w:pPr>
      <w:r w:rsidRPr="002646EE">
        <w:rPr>
          <w:rStyle w:val="NormalWebChar"/>
          <w:rFonts w:eastAsia="ArialMT"/>
        </w:rPr>
        <w:t xml:space="preserve">                                             </w:t>
      </w:r>
      <w:r w:rsidRPr="002646EE">
        <w:rPr>
          <w:rFonts w:ascii="Times New Roman" w:hAnsi="Times New Roman" w:cs="Times New Roman"/>
          <w:noProof/>
          <w:sz w:val="24"/>
          <w:szCs w:val="24"/>
          <w:lang w:eastAsia="en-IN"/>
        </w:rPr>
        <w:drawing>
          <wp:inline distT="0" distB="0" distL="0" distR="0" wp14:anchorId="3C6C9AFC" wp14:editId="05A6B06C">
            <wp:extent cx="3794760" cy="2796540"/>
            <wp:effectExtent l="0" t="0" r="0" b="3810"/>
            <wp:docPr id="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4760" cy="279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D0D4B" w:rsidRPr="00F4438A" w:rsidRDefault="005F02E3" w:rsidP="005F02E3">
      <w:pPr>
        <w:pStyle w:val="Heading2"/>
      </w:pPr>
      <w:bookmarkStart w:id="27" w:name="_Toc171420556"/>
      <w:r>
        <w:lastRenderedPageBreak/>
        <w:t xml:space="preserve">2.9 </w:t>
      </w:r>
      <w:r w:rsidR="003D0D4B" w:rsidRPr="003D0D4B">
        <w:t>DPP4 Estimation from CaCo2 Cell Line</w:t>
      </w:r>
      <w:bookmarkEnd w:id="27"/>
    </w:p>
    <w:p w:rsidR="003D0D4B" w:rsidRPr="004912F4" w:rsidRDefault="003D0D4B" w:rsidP="00F4438A">
      <w:pPr>
        <w:spacing w:before="100" w:beforeAutospacing="1" w:after="100" w:afterAutospacing="1" w:line="360" w:lineRule="auto"/>
        <w:outlineLvl w:val="2"/>
        <w:rPr>
          <w:rFonts w:ascii="Times New Roman" w:eastAsia="Times New Roman" w:hAnsi="Times New Roman" w:cs="Times New Roman"/>
          <w:b/>
          <w:bCs/>
          <w:sz w:val="28"/>
          <w:szCs w:val="27"/>
          <w:lang w:eastAsia="en-IN"/>
        </w:rPr>
      </w:pPr>
      <w:bookmarkStart w:id="28" w:name="_Toc169731556"/>
      <w:bookmarkStart w:id="29" w:name="_Toc169731680"/>
      <w:bookmarkStart w:id="30" w:name="_Toc169732801"/>
      <w:bookmarkStart w:id="31" w:name="_Toc171420557"/>
      <w:r w:rsidRPr="004912F4">
        <w:rPr>
          <w:rStyle w:val="NormalWebChar"/>
          <w:rFonts w:eastAsiaTheme="minorHAnsi"/>
        </w:rPr>
        <w:t>Materials:</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12-well plate</w:t>
      </w:r>
      <w:r w:rsidRPr="003D0D4B">
        <w:rPr>
          <w:rFonts w:ascii="Times New Roman" w:eastAsia="Times New Roman" w:hAnsi="Times New Roman" w:cs="Times New Roman"/>
          <w:b/>
          <w:bCs/>
          <w:sz w:val="24"/>
          <w:szCs w:val="24"/>
          <w:lang w:eastAsia="en-IN"/>
        </w:rPr>
        <w:t xml:space="preserve">, </w:t>
      </w:r>
      <w:r w:rsidRPr="003D0D4B">
        <w:rPr>
          <w:rFonts w:ascii="Times New Roman" w:eastAsia="Times New Roman" w:hAnsi="Times New Roman" w:cs="Times New Roman"/>
          <w:sz w:val="24"/>
          <w:szCs w:val="24"/>
          <w:lang w:eastAsia="en-IN"/>
        </w:rPr>
        <w:t>CaCo2 cells</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VA and NK formulations</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Sitagliptin (positive control)</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PBS (1x)</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PBST (1% PBST)</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DPP4 substrate (500 µM concentration)</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Buffer for enzyme reaction</w:t>
      </w:r>
      <w:r w:rsidRPr="003D0D4B">
        <w:rPr>
          <w:rFonts w:ascii="Times New Roman" w:eastAsia="Times New Roman" w:hAnsi="Times New Roman" w:cs="Times New Roman"/>
          <w:b/>
          <w:bCs/>
          <w:sz w:val="24"/>
          <w:szCs w:val="24"/>
          <w:lang w:eastAsia="en-IN"/>
        </w:rPr>
        <w:t xml:space="preserve">, </w:t>
      </w:r>
      <w:r w:rsidRPr="004912F4">
        <w:rPr>
          <w:rStyle w:val="NormalWebChar"/>
          <w:rFonts w:eastAsiaTheme="minorHAnsi"/>
        </w:rPr>
        <w:t>Spectrophotometer</w:t>
      </w:r>
      <w:bookmarkEnd w:id="28"/>
      <w:bookmarkEnd w:id="29"/>
      <w:bookmarkEnd w:id="30"/>
      <w:bookmarkEnd w:id="31"/>
    </w:p>
    <w:p w:rsidR="003D0D4B" w:rsidRDefault="003D0D4B" w:rsidP="003D0D4B">
      <w:pPr>
        <w:spacing w:before="100" w:beforeAutospacing="1" w:after="100" w:afterAutospacing="1" w:line="360" w:lineRule="auto"/>
        <w:jc w:val="both"/>
        <w:outlineLvl w:val="3"/>
        <w:rPr>
          <w:rFonts w:ascii="Times New Roman" w:eastAsia="Times New Roman" w:hAnsi="Times New Roman" w:cs="Times New Roman"/>
          <w:b/>
          <w:bCs/>
          <w:sz w:val="24"/>
          <w:szCs w:val="24"/>
          <w:lang w:eastAsia="en-IN"/>
        </w:rPr>
      </w:pPr>
      <w:r w:rsidRPr="003D0D4B">
        <w:rPr>
          <w:rFonts w:ascii="Times New Roman" w:eastAsia="Times New Roman" w:hAnsi="Times New Roman" w:cs="Times New Roman"/>
          <w:bCs/>
          <w:sz w:val="24"/>
          <w:szCs w:val="24"/>
          <w:lang w:eastAsia="en-IN"/>
        </w:rPr>
        <w:t>Procedure:</w:t>
      </w:r>
      <w:r w:rsidRPr="003D0D4B">
        <w:rPr>
          <w:rFonts w:ascii="Times New Roman" w:eastAsia="Times New Roman" w:hAnsi="Times New Roman" w:cs="Times New Roman"/>
          <w:b/>
          <w:bCs/>
          <w:sz w:val="24"/>
          <w:szCs w:val="24"/>
          <w:lang w:eastAsia="en-IN"/>
        </w:rPr>
        <w:t xml:space="preserve"> </w:t>
      </w:r>
      <w:r w:rsidRPr="003D0D4B">
        <w:rPr>
          <w:rFonts w:ascii="Times New Roman" w:eastAsia="Times New Roman" w:hAnsi="Times New Roman" w:cs="Times New Roman"/>
          <w:sz w:val="24"/>
          <w:szCs w:val="24"/>
          <w:lang w:eastAsia="en-IN"/>
        </w:rPr>
        <w:t>Seed 1</w:t>
      </w:r>
      <w:r w:rsidR="0009727A">
        <w:rPr>
          <w:rFonts w:ascii="Times New Roman" w:eastAsia="Times New Roman" w:hAnsi="Times New Roman" w:cs="Times New Roman"/>
          <w:sz w:val="24"/>
          <w:szCs w:val="24"/>
          <w:lang w:eastAsia="en-IN"/>
        </w:rPr>
        <w:t>,</w:t>
      </w:r>
      <w:r w:rsidRPr="003D0D4B">
        <w:rPr>
          <w:rFonts w:ascii="Times New Roman" w:eastAsia="Times New Roman" w:hAnsi="Times New Roman" w:cs="Times New Roman"/>
          <w:sz w:val="24"/>
          <w:szCs w:val="24"/>
          <w:lang w:eastAsia="en-IN"/>
        </w:rPr>
        <w:t xml:space="preserve">50,000 CaCo2 cells per well in a 12-well plate, </w:t>
      </w:r>
      <w:r w:rsidRPr="003D0D4B">
        <w:rPr>
          <w:rFonts w:ascii="Times New Roman" w:eastAsia="Times New Roman" w:hAnsi="Times New Roman" w:cs="Times New Roman"/>
          <w:b/>
          <w:bCs/>
          <w:sz w:val="24"/>
          <w:szCs w:val="24"/>
          <w:lang w:eastAsia="en-IN"/>
        </w:rPr>
        <w:t>I</w:t>
      </w:r>
      <w:r w:rsidRPr="003D0D4B">
        <w:rPr>
          <w:rFonts w:ascii="Times New Roman" w:eastAsia="Times New Roman" w:hAnsi="Times New Roman" w:cs="Times New Roman"/>
          <w:sz w:val="24"/>
          <w:szCs w:val="24"/>
          <w:lang w:eastAsia="en-IN"/>
        </w:rPr>
        <w:t>ncubate until the cells form a monolayer.</w:t>
      </w:r>
      <w:r w:rsidRPr="003D0D4B">
        <w:rPr>
          <w:rFonts w:ascii="Times New Roman" w:eastAsia="Times New Roman" w:hAnsi="Times New Roman" w:cs="Times New Roman"/>
          <w:b/>
          <w:bCs/>
          <w:sz w:val="24"/>
          <w:szCs w:val="24"/>
          <w:lang w:eastAsia="en-IN"/>
        </w:rPr>
        <w:t xml:space="preserve"> </w:t>
      </w:r>
      <w:r w:rsidRPr="003D0D4B">
        <w:rPr>
          <w:rFonts w:ascii="Times New Roman" w:eastAsia="Times New Roman" w:hAnsi="Times New Roman" w:cs="Times New Roman"/>
          <w:sz w:val="24"/>
          <w:szCs w:val="24"/>
          <w:lang w:eastAsia="en-IN"/>
        </w:rPr>
        <w:t>Once a monolayer is formed, treat the cells with the following:VA at concentrations of 4 µg/mL, 2 µg/mL, and 1 µg/mL.</w:t>
      </w:r>
      <w:r w:rsidRPr="003D0D4B">
        <w:rPr>
          <w:rFonts w:ascii="Times New Roman" w:eastAsia="Times New Roman" w:hAnsi="Times New Roman" w:cs="Times New Roman"/>
          <w:b/>
          <w:bCs/>
          <w:sz w:val="24"/>
          <w:szCs w:val="24"/>
          <w:lang w:eastAsia="en-IN"/>
        </w:rPr>
        <w:t xml:space="preserve"> </w:t>
      </w:r>
      <w:r w:rsidRPr="003D0D4B">
        <w:rPr>
          <w:rFonts w:ascii="Times New Roman" w:eastAsia="Times New Roman" w:hAnsi="Times New Roman" w:cs="Times New Roman"/>
          <w:sz w:val="24"/>
          <w:szCs w:val="24"/>
          <w:lang w:eastAsia="en-IN"/>
        </w:rPr>
        <w:t>NK at concentrations of 4 µg/mL, 2 µg/mL, and 1 µg/mL.</w:t>
      </w:r>
      <w:r w:rsidRPr="003D0D4B">
        <w:rPr>
          <w:rFonts w:ascii="Times New Roman" w:eastAsia="Times New Roman" w:hAnsi="Times New Roman" w:cs="Times New Roman"/>
          <w:b/>
          <w:bCs/>
          <w:sz w:val="24"/>
          <w:szCs w:val="24"/>
          <w:lang w:eastAsia="en-IN"/>
        </w:rPr>
        <w:t xml:space="preserve"> </w:t>
      </w:r>
      <w:r w:rsidRPr="003D0D4B">
        <w:rPr>
          <w:rStyle w:val="NormalWebChar"/>
          <w:rFonts w:eastAsiaTheme="minorHAnsi"/>
        </w:rPr>
        <w:t>Sitagliptin as a positive control at 100 µM concentration.</w:t>
      </w:r>
      <w:r w:rsidRPr="003D0D4B">
        <w:rPr>
          <w:rFonts w:ascii="Times New Roman" w:eastAsia="Times New Roman" w:hAnsi="Times New Roman" w:cs="Times New Roman"/>
          <w:b/>
          <w:bCs/>
          <w:sz w:val="24"/>
          <w:szCs w:val="24"/>
          <w:lang w:eastAsia="en-IN"/>
        </w:rPr>
        <w:t xml:space="preserve"> </w:t>
      </w:r>
      <w:r w:rsidRPr="00F4438A">
        <w:rPr>
          <w:rStyle w:val="NormalWebChar"/>
          <w:rFonts w:eastAsiaTheme="minorHAnsi"/>
        </w:rPr>
        <w:t>Incubate the treated cells for 24 hours.</w:t>
      </w:r>
      <w:r w:rsidRPr="003D0D4B">
        <w:rPr>
          <w:rFonts w:ascii="Times New Roman" w:eastAsia="Times New Roman" w:hAnsi="Times New Roman" w:cs="Times New Roman"/>
          <w:b/>
          <w:bCs/>
          <w:sz w:val="24"/>
          <w:szCs w:val="24"/>
          <w:lang w:eastAsia="en-IN"/>
        </w:rPr>
        <w:t xml:space="preserve"> </w:t>
      </w:r>
      <w:r w:rsidRPr="003D0D4B">
        <w:rPr>
          <w:rStyle w:val="NormalWebChar"/>
          <w:rFonts w:eastAsiaTheme="minorHAnsi"/>
        </w:rPr>
        <w:t>After 24 hours of treatment, wash the cells thoroughly 4 times with 1x PBS.</w:t>
      </w:r>
      <w:r w:rsidRPr="003D0D4B">
        <w:rPr>
          <w:rFonts w:ascii="Times New Roman" w:eastAsia="Times New Roman" w:hAnsi="Times New Roman" w:cs="Times New Roman"/>
          <w:b/>
          <w:bCs/>
          <w:sz w:val="24"/>
          <w:szCs w:val="24"/>
          <w:lang w:eastAsia="en-IN"/>
        </w:rPr>
        <w:t xml:space="preserve"> </w:t>
      </w:r>
      <w:r w:rsidRPr="00F4438A">
        <w:rPr>
          <w:rStyle w:val="NormalWebChar"/>
          <w:rFonts w:eastAsiaTheme="minorHAnsi"/>
        </w:rPr>
        <w:t>Add 250 µL of 1% PBST to each well.</w:t>
      </w:r>
      <w:r w:rsidRPr="003D0D4B">
        <w:rPr>
          <w:rFonts w:ascii="Times New Roman" w:eastAsia="Times New Roman" w:hAnsi="Times New Roman" w:cs="Times New Roman"/>
          <w:b/>
          <w:bCs/>
          <w:sz w:val="24"/>
          <w:szCs w:val="24"/>
          <w:lang w:eastAsia="en-IN"/>
        </w:rPr>
        <w:t xml:space="preserve"> S</w:t>
      </w:r>
      <w:r w:rsidRPr="00F4438A">
        <w:rPr>
          <w:rStyle w:val="NormalWebChar"/>
          <w:rFonts w:eastAsiaTheme="minorHAnsi"/>
        </w:rPr>
        <w:t>crape the cells to collect the lysate.</w:t>
      </w:r>
    </w:p>
    <w:p w:rsidR="003D0D4B" w:rsidRPr="00F4438A" w:rsidRDefault="003D0D4B" w:rsidP="003D0D4B">
      <w:pPr>
        <w:spacing w:before="100" w:beforeAutospacing="1" w:after="100" w:afterAutospacing="1" w:line="360" w:lineRule="auto"/>
        <w:jc w:val="both"/>
        <w:outlineLvl w:val="3"/>
        <w:rPr>
          <w:rStyle w:val="NormalWebChar"/>
          <w:rFonts w:eastAsiaTheme="minorHAnsi"/>
        </w:rPr>
      </w:pPr>
      <w:r w:rsidRPr="00F4438A">
        <w:rPr>
          <w:rStyle w:val="NormalWebChar"/>
          <w:rFonts w:eastAsiaTheme="minorHAnsi"/>
        </w:rPr>
        <w:t>DPP4 Estimation: Prepare the DPP4 substrate solution at a concentration of 500 µM. Add the DPP4 substrate and enzyme to the cell lysate. Make up the reaction volume with the appropriate buffer. Incubate the reaction mixture at 37°C for 1 hour. Measure the absorbance at 405 nm using a spectrophotometer to estimate the amount of DPP4 secreted from the CaCo2 cells.</w:t>
      </w:r>
    </w:p>
    <w:p w:rsidR="003D0D4B" w:rsidRPr="002646EE" w:rsidRDefault="003D0D4B" w:rsidP="001E505F">
      <w:pPr>
        <w:autoSpaceDE w:val="0"/>
        <w:autoSpaceDN w:val="0"/>
        <w:adjustRightInd w:val="0"/>
        <w:spacing w:after="0" w:line="360" w:lineRule="auto"/>
        <w:jc w:val="both"/>
        <w:rPr>
          <w:rStyle w:val="NormalWebChar"/>
          <w:rFonts w:eastAsia="ArialMT"/>
        </w:rPr>
        <w:sectPr w:rsidR="003D0D4B" w:rsidRPr="002646EE" w:rsidSect="001E505F">
          <w:pgSz w:w="11906" w:h="16838"/>
          <w:pgMar w:top="1440" w:right="1440" w:bottom="1440" w:left="1440" w:header="708" w:footer="708" w:gutter="0"/>
          <w:cols w:space="708"/>
          <w:docGrid w:linePitch="360"/>
        </w:sectPr>
      </w:pPr>
    </w:p>
    <w:p w:rsidR="00CB2BBE" w:rsidRPr="002646EE" w:rsidRDefault="00CB2BBE" w:rsidP="00C936A3">
      <w:pPr>
        <w:pStyle w:val="Heading1"/>
        <w:jc w:val="left"/>
      </w:pPr>
      <w:bookmarkStart w:id="32" w:name="_Toc171420558"/>
      <w:r w:rsidRPr="002646EE">
        <w:lastRenderedPageBreak/>
        <w:t>3.Results</w:t>
      </w:r>
      <w:bookmarkEnd w:id="32"/>
    </w:p>
    <w:p w:rsidR="00CB2BBE" w:rsidRPr="002646EE" w:rsidRDefault="00CB2BBE" w:rsidP="00CB2BBE">
      <w:pPr>
        <w:pStyle w:val="Footer"/>
        <w:rPr>
          <w:rFonts w:ascii="Times New Roman" w:hAnsi="Times New Roman" w:cs="Times New Roman"/>
          <w:b/>
          <w:color w:val="333333"/>
          <w:sz w:val="24"/>
          <w:szCs w:val="24"/>
          <w:bdr w:val="none" w:sz="0" w:space="0" w:color="auto" w:frame="1"/>
        </w:rPr>
      </w:pPr>
    </w:p>
    <w:p w:rsidR="00CB2BBE" w:rsidRPr="002646EE" w:rsidRDefault="00CB2BBE" w:rsidP="002D6B34">
      <w:pPr>
        <w:pStyle w:val="Heading2"/>
      </w:pPr>
      <w:bookmarkStart w:id="33" w:name="_Toc171420559"/>
      <w:r w:rsidRPr="002646EE">
        <w:t>3.1 Classification of phytochemicals of NK and VA</w:t>
      </w:r>
      <w:bookmarkEnd w:id="33"/>
    </w:p>
    <w:p w:rsidR="00CB2BBE" w:rsidRPr="002646EE" w:rsidRDefault="00CB2BBE" w:rsidP="00532ECC">
      <w:pPr>
        <w:pStyle w:val="Heading3"/>
        <w:rPr>
          <w:rFonts w:ascii="Times New Roman" w:hAnsi="Times New Roman" w:cs="Times New Roman"/>
        </w:rPr>
      </w:pPr>
    </w:p>
    <w:p w:rsidR="00CB2BBE" w:rsidRPr="002646EE" w:rsidRDefault="00CB2BBE" w:rsidP="00C70D14">
      <w:pPr>
        <w:pStyle w:val="Heading3"/>
        <w:rPr>
          <w:rFonts w:ascii="Times New Roman" w:hAnsi="Times New Roman" w:cs="Times New Roman"/>
        </w:rPr>
      </w:pPr>
      <w:bookmarkStart w:id="34" w:name="_Toc171420560"/>
      <w:r w:rsidRPr="002646EE">
        <w:rPr>
          <w:rFonts w:ascii="Times New Roman" w:hAnsi="Times New Roman" w:cs="Times New Roman"/>
          <w:sz w:val="26"/>
          <w:szCs w:val="26"/>
        </w:rPr>
        <w:t>C</w:t>
      </w:r>
      <w:r w:rsidRPr="002646EE">
        <w:rPr>
          <w:rFonts w:ascii="Times New Roman" w:hAnsi="Times New Roman" w:cs="Times New Roman"/>
        </w:rPr>
        <w:t>lassification of phytochemicals of NK</w:t>
      </w:r>
      <w:bookmarkEnd w:id="34"/>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u w:val="single"/>
        </w:rPr>
      </w:pPr>
    </w:p>
    <w:tbl>
      <w:tblPr>
        <w:tblStyle w:val="TableGrid"/>
        <w:tblW w:w="0" w:type="auto"/>
        <w:tblLook w:val="04A0" w:firstRow="1" w:lastRow="0" w:firstColumn="1" w:lastColumn="0" w:noHBand="0" w:noVBand="1"/>
      </w:tblPr>
      <w:tblGrid>
        <w:gridCol w:w="4106"/>
        <w:gridCol w:w="5528"/>
        <w:gridCol w:w="3686"/>
      </w:tblGrid>
      <w:tr w:rsidR="00CB2BBE" w:rsidRPr="002646EE" w:rsidTr="00E650EB">
        <w:trPr>
          <w:trHeight w:val="672"/>
        </w:trPr>
        <w:tc>
          <w:tcPr>
            <w:tcW w:w="4106" w:type="dxa"/>
            <w:shd w:val="clear" w:color="auto" w:fill="9CC2E5" w:themeFill="accent1" w:themeFillTint="99"/>
            <w:hideMark/>
          </w:tcPr>
          <w:p w:rsidR="00CB2BBE" w:rsidRPr="002646EE" w:rsidRDefault="00CB2BBE" w:rsidP="00A84C31">
            <w:pPr>
              <w:autoSpaceDE w:val="0"/>
              <w:autoSpaceDN w:val="0"/>
              <w:adjustRightInd w:val="0"/>
              <w:rPr>
                <w:rFonts w:ascii="Times New Roman" w:eastAsia="ArialMT" w:hAnsi="Times New Roman" w:cs="Times New Roman"/>
                <w:b/>
                <w:bCs/>
                <w:sz w:val="24"/>
                <w:szCs w:val="24"/>
              </w:rPr>
            </w:pPr>
            <w:r w:rsidRPr="002646EE">
              <w:rPr>
                <w:rFonts w:ascii="Times New Roman" w:eastAsia="ArialMT" w:hAnsi="Times New Roman" w:cs="Times New Roman"/>
                <w:b/>
                <w:bCs/>
                <w:sz w:val="24"/>
                <w:szCs w:val="24"/>
              </w:rPr>
              <w:t>Classes</w:t>
            </w:r>
          </w:p>
        </w:tc>
        <w:tc>
          <w:tcPr>
            <w:tcW w:w="5528" w:type="dxa"/>
            <w:shd w:val="clear" w:color="auto" w:fill="9CC2E5" w:themeFill="accent1" w:themeFillTint="99"/>
            <w:hideMark/>
          </w:tcPr>
          <w:p w:rsidR="00CB2BBE" w:rsidRPr="002646EE" w:rsidRDefault="00CB2BBE" w:rsidP="00A84C31">
            <w:pPr>
              <w:autoSpaceDE w:val="0"/>
              <w:autoSpaceDN w:val="0"/>
              <w:adjustRightInd w:val="0"/>
              <w:rPr>
                <w:rFonts w:ascii="Times New Roman" w:eastAsia="ArialMT" w:hAnsi="Times New Roman" w:cs="Times New Roman"/>
                <w:b/>
                <w:bCs/>
                <w:sz w:val="24"/>
                <w:szCs w:val="24"/>
              </w:rPr>
            </w:pPr>
            <w:r w:rsidRPr="002646EE">
              <w:rPr>
                <w:rFonts w:ascii="Times New Roman" w:eastAsia="ArialMT" w:hAnsi="Times New Roman" w:cs="Times New Roman"/>
                <w:b/>
                <w:bCs/>
                <w:sz w:val="24"/>
                <w:szCs w:val="24"/>
              </w:rPr>
              <w:t>Phytochemicals</w:t>
            </w:r>
          </w:p>
        </w:tc>
        <w:tc>
          <w:tcPr>
            <w:tcW w:w="3686" w:type="dxa"/>
            <w:shd w:val="clear" w:color="auto" w:fill="9CC2E5" w:themeFill="accent1" w:themeFillTint="99"/>
            <w:hideMark/>
          </w:tcPr>
          <w:p w:rsidR="00CB2BBE" w:rsidRPr="002646EE" w:rsidRDefault="00CB2BBE" w:rsidP="00A84C31">
            <w:pPr>
              <w:autoSpaceDE w:val="0"/>
              <w:autoSpaceDN w:val="0"/>
              <w:adjustRightInd w:val="0"/>
              <w:rPr>
                <w:rFonts w:ascii="Times New Roman" w:eastAsia="ArialMT" w:hAnsi="Times New Roman" w:cs="Times New Roman"/>
                <w:b/>
                <w:bCs/>
                <w:sz w:val="24"/>
                <w:szCs w:val="24"/>
              </w:rPr>
            </w:pPr>
            <w:r w:rsidRPr="002646EE">
              <w:rPr>
                <w:rFonts w:ascii="Times New Roman" w:eastAsia="ArialMT" w:hAnsi="Times New Roman" w:cs="Times New Roman"/>
                <w:b/>
                <w:bCs/>
                <w:sz w:val="24"/>
                <w:szCs w:val="24"/>
              </w:rPr>
              <w:t>Number of phytoconstituents</w:t>
            </w:r>
          </w:p>
        </w:tc>
      </w:tr>
      <w:tr w:rsidR="00CB2BBE" w:rsidRPr="002646EE" w:rsidTr="004E54C7">
        <w:trPr>
          <w:trHeight w:val="312"/>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Benzene and substituted derivatives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Gallic Acid</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6</w:t>
            </w:r>
          </w:p>
        </w:tc>
      </w:tr>
      <w:tr w:rsidR="00CB2BBE" w:rsidRPr="002646EE" w:rsidTr="004E54C7">
        <w:trPr>
          <w:trHeight w:val="288"/>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Phyllemblin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288"/>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p-hydroxybenzoic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288"/>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Benzoic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288"/>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Syringic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00"/>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Vanillic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288"/>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Phenols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Pyrogallol</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4</w:t>
            </w:r>
          </w:p>
        </w:tc>
      </w:tr>
      <w:tr w:rsidR="00CB2BBE" w:rsidRPr="002646EE" w:rsidTr="004E54C7">
        <w:trPr>
          <w:trHeight w:val="288"/>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Guaiacol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288"/>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Eugenol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00"/>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Vanillin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Organooxygen compounds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Mucic Acid, fructose</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17</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Glucose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Inositol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Arabinose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Salirepin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Benzoylsalireposide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Locoracemosides B</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Salireposide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Symponoside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Symplososide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Symploveroside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Diacetyl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Glycerol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Khusimone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Khusinol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Khusitone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Sucrose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Tannins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Glucogallin</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9</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1,2,4,6-Tetra-O-Galloyl-Beta-D-Glucose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1,6-Bis-O-Galloyl-Beta-D-Glucose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Chebulagic-Acid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Chebulinic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Corilagin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Ellagic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Punicafolin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Terchebin</w:t>
            </w:r>
          </w:p>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val="restart"/>
            <w:noWrap/>
            <w:hideMark/>
          </w:tcPr>
          <w:p w:rsidR="00CB2BBE" w:rsidRPr="002646EE" w:rsidRDefault="00CB2BBE" w:rsidP="00A84C31">
            <w:pPr>
              <w:autoSpaceDE w:val="0"/>
              <w:autoSpaceDN w:val="0"/>
              <w:adjustRightInd w:val="0"/>
              <w:spacing w:before="240"/>
              <w:rPr>
                <w:rFonts w:ascii="Times New Roman" w:eastAsia="ArialMT" w:hAnsi="Times New Roman" w:cs="Times New Roman"/>
                <w:sz w:val="24"/>
                <w:szCs w:val="24"/>
              </w:rPr>
            </w:pPr>
            <w:r w:rsidRPr="002646EE">
              <w:rPr>
                <w:rFonts w:ascii="Times New Roman" w:eastAsia="ArialMT" w:hAnsi="Times New Roman" w:cs="Times New Roman"/>
                <w:sz w:val="24"/>
                <w:szCs w:val="24"/>
              </w:rPr>
              <w:t>Prenol lipids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Gibberellin A3</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83</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A1 Gibberllin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A7 Gibberellin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A9 Gibberllin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Linalool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Camphor</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Limonene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Isoborneol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Isoprocurcumenol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P-Cymene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Terpineol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Zedoarondiol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Alpha-Pinene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D-Camphor</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Guaiane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Procurcumenol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Ar-Turmerone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Bisacurone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Camphene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L-Alpha-Curcumene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Zingiberene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AD0C52" w:rsidRDefault="00CB2BBE" w:rsidP="00A84C31">
            <w:pPr>
              <w:autoSpaceDE w:val="0"/>
              <w:autoSpaceDN w:val="0"/>
              <w:adjustRightInd w:val="0"/>
              <w:rPr>
                <w:rStyle w:val="Emphasis"/>
              </w:rPr>
            </w:pPr>
            <w:r w:rsidRPr="00AD0C52">
              <w:rPr>
                <w:rStyle w:val="Emphasis"/>
              </w:rPr>
              <w:t>Curcumenol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Beta-Pinene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Curcumene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Curzerenone-C</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Lbeta curcumene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Isomotiol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Oleanoloic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3-O-Acetyloleanolic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Betulin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β-amyrin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24-hydroxyolean-12-en-3-one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betulinic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Betulic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3beta-Hydroxy-20(29)-lupene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Lupeol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β-sesqui phellandrene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betunolic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α-amyrin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ursolic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3-acetylursolic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Oleanonic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Tocopheryl quinone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3-acetylbetulic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16α-hydro-19-acetoxy-(−) kauran-17-oic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Alpha-Calacorane, Beta-vetispirine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Alpha-vetivone,Epikhusinol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Beta-vetivene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Beta-vetivenene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Beta-vetivone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Cyclocopacamphene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Cyclocopacampheno</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Delta-3-carene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Elemol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Gamma-vetivenene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Isobisaboline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Isokhusenic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Khusimyl-acid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Terpinen-4-ol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Zizanene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Zizanoic-acid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Zizanol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Valencene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Vetiselinenol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vetivenic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Nootkatol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Nootkatone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L-Delta-Cadinol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L-gamma-2-cadinene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L-gamma-cadinene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Tricyclovetivene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Vetivene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Prezizaan-15-al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Prezizaene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Solavetivone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Isokhusimol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Isovalencenol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Khusimol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Laevojunenol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alpha-Amyrin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Style w:val="NormalWebChar"/>
                <w:rFonts w:eastAsia="ArialMT"/>
              </w:rPr>
            </w:pPr>
            <w:r w:rsidRPr="002646EE">
              <w:rPr>
                <w:rStyle w:val="NormalWebChar"/>
                <w:rFonts w:eastAsia="ArialMT"/>
              </w:rPr>
              <w:t>Sitosteryl palmitate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Flavonoids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Eriodictyol</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14</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Kaempferol</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Myricitrin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Proanthocyanidin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Procyanidin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Quercetin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Quercitrin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Luteolin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(−)-epicatechin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(+)-catechin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Chrysin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Narcissin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Typhaneoside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Kaempferol 3-O-beta-D-galactoside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72"/>
        </w:trPr>
        <w:tc>
          <w:tcPr>
            <w:tcW w:w="4106" w:type="dxa"/>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Pteridines and derivatives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Riboflavin</w:t>
            </w:r>
          </w:p>
        </w:tc>
        <w:tc>
          <w:tcPr>
            <w:tcW w:w="3686" w:type="dxa"/>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w:t>
            </w:r>
          </w:p>
        </w:tc>
      </w:tr>
      <w:tr w:rsidR="00CB2BBE" w:rsidRPr="002646EE" w:rsidTr="004E54C7">
        <w:trPr>
          <w:trHeight w:val="312"/>
        </w:trPr>
        <w:tc>
          <w:tcPr>
            <w:tcW w:w="4106" w:type="dxa"/>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Imidazopyrimidines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Trans-Zeatin</w:t>
            </w:r>
          </w:p>
        </w:tc>
        <w:tc>
          <w:tcPr>
            <w:tcW w:w="3686" w:type="dxa"/>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w:t>
            </w:r>
          </w:p>
        </w:tc>
      </w:tr>
      <w:tr w:rsidR="00CB2BBE" w:rsidRPr="002646EE" w:rsidTr="004E54C7">
        <w:trPr>
          <w:trHeight w:val="312"/>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Diarylheptanoids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Desmethoxycurcumin</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5</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Curcumin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Bisdemethoxycurcumin</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Letestuianin B</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Letestuianin A</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Cinnamic acids and derivatives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 xml:space="preserve">Cinnamic-Acid </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7</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P-coumaric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276"/>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1,5-Bis-(4-Hydroxy-3-Methoxyphenyl)-1,4-Pentadien-3-One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P-Methoxy-Cinnamic-Acid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ferulic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Moupinamide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Caffeic-Acid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Fatty Acyls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Caprylic-Acid</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8</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ketochaulmoogric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Methyl triacontanoate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9, 12-Octadecadienoic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Palmitic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Stearic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Oleic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Linoleic acid</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r w:rsidR="00CB2BBE" w:rsidRPr="002646EE" w:rsidTr="004E54C7">
        <w:trPr>
          <w:trHeight w:val="324"/>
        </w:trPr>
        <w:tc>
          <w:tcPr>
            <w:tcW w:w="410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Unsaturated hydrocarbons</w:t>
            </w: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Alpha-vetispirene</w:t>
            </w:r>
          </w:p>
        </w:tc>
        <w:tc>
          <w:tcPr>
            <w:tcW w:w="3686" w:type="dxa"/>
            <w:vMerge w:val="restart"/>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2</w:t>
            </w:r>
          </w:p>
        </w:tc>
      </w:tr>
      <w:tr w:rsidR="00CB2BBE" w:rsidRPr="002646EE" w:rsidTr="004E54C7">
        <w:trPr>
          <w:trHeight w:val="312"/>
        </w:trPr>
        <w:tc>
          <w:tcPr>
            <w:tcW w:w="410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c>
          <w:tcPr>
            <w:tcW w:w="5528" w:type="dxa"/>
            <w:noWrap/>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Azulene</w:t>
            </w:r>
          </w:p>
        </w:tc>
        <w:tc>
          <w:tcPr>
            <w:tcW w:w="3686" w:type="dxa"/>
            <w:vMerge/>
            <w:hideMark/>
          </w:tcPr>
          <w:p w:rsidR="00CB2BBE" w:rsidRPr="002646EE" w:rsidRDefault="00CB2BBE" w:rsidP="00A84C31">
            <w:pPr>
              <w:autoSpaceDE w:val="0"/>
              <w:autoSpaceDN w:val="0"/>
              <w:adjustRightInd w:val="0"/>
              <w:rPr>
                <w:rFonts w:ascii="Times New Roman" w:eastAsia="ArialMT" w:hAnsi="Times New Roman" w:cs="Times New Roman"/>
                <w:sz w:val="24"/>
                <w:szCs w:val="24"/>
              </w:rPr>
            </w:pPr>
          </w:p>
        </w:tc>
      </w:tr>
    </w:tbl>
    <w:tbl>
      <w:tblPr>
        <w:tblStyle w:val="TableGrid"/>
        <w:tblpPr w:leftFromText="180" w:rightFromText="180" w:vertAnchor="text" w:horzAnchor="margin" w:tblpY="1304"/>
        <w:tblW w:w="0" w:type="auto"/>
        <w:tblLook w:val="04A0" w:firstRow="1" w:lastRow="0" w:firstColumn="1" w:lastColumn="0" w:noHBand="0" w:noVBand="1"/>
      </w:tblPr>
      <w:tblGrid>
        <w:gridCol w:w="4106"/>
        <w:gridCol w:w="5528"/>
        <w:gridCol w:w="3544"/>
      </w:tblGrid>
      <w:tr w:rsidR="00C042D6" w:rsidRPr="002646EE" w:rsidTr="004E54C7">
        <w:trPr>
          <w:trHeight w:val="312"/>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Steroids and steroid derivatives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 xml:space="preserve">Sitosterol </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8</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Stigmasterol</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Campesterol</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Phytosterols</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Beta sitosterol</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sitosteryl-3-O-β-d-glucoside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6β-hydroxystigmast-4-en-3-one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Daucosterol</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288"/>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Strychnos alkaloids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Brucine</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2</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Strychnine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288"/>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Indoles and derivatives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Icajine</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2</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Novacine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24"/>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Phenylpropanoids and polyketides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Symplocomoside</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4</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Symposide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Kaempferol-7-oglucoside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epicatechin-4β-8</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264"/>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Coumarins and derivatives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Scopoletin</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2</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Coumarin</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Organic oxides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Khusilal</w:t>
            </w:r>
          </w:p>
        </w:tc>
        <w:tc>
          <w:tcPr>
            <w:tcW w:w="3544" w:type="dxa"/>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w:t>
            </w:r>
          </w:p>
        </w:tc>
      </w:tr>
      <w:tr w:rsidR="00C042D6" w:rsidRPr="002646EE" w:rsidTr="004E54C7">
        <w:trPr>
          <w:trHeight w:val="228"/>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Indolonaphthyridine alkaloids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Canthin-6-one</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3</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Ervoside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Ervine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240"/>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Harmala alkaloids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Aervolanin</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2</w:t>
            </w:r>
          </w:p>
        </w:tc>
      </w:tr>
      <w:tr w:rsidR="00C042D6" w:rsidRPr="002646EE" w:rsidTr="004E54C7">
        <w:trPr>
          <w:trHeight w:val="288"/>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Thalicrines</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Dihydrofurans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l-ascorbic acid</w:t>
            </w:r>
          </w:p>
        </w:tc>
        <w:tc>
          <w:tcPr>
            <w:tcW w:w="3544" w:type="dxa"/>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w:t>
            </w:r>
          </w:p>
        </w:tc>
      </w:tr>
      <w:tr w:rsidR="00C042D6" w:rsidRPr="002646EE" w:rsidTr="004E54C7">
        <w:trPr>
          <w:trHeight w:val="300"/>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Organic sulfuric acids and derivatives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Salacinol</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2</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Kotalanol</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Anthracenes</w:t>
            </w: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1,3,8‐Trihydroxyanthraquinone</w:t>
            </w:r>
          </w:p>
        </w:tc>
        <w:tc>
          <w:tcPr>
            <w:tcW w:w="3544" w:type="dxa"/>
            <w:vMerge w:val="restart"/>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7</w:t>
            </w: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Chrysophanol</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Physcion</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aloe‐emodin</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Lunatin</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Emodin</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c>
          <w:tcPr>
            <w:tcW w:w="5528" w:type="dxa"/>
            <w:noWrap/>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chrysophanol‐10,10'‐bianthrone</w:t>
            </w:r>
          </w:p>
        </w:tc>
        <w:tc>
          <w:tcPr>
            <w:tcW w:w="3544" w:type="dxa"/>
            <w:vMerge/>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p>
        </w:tc>
      </w:tr>
      <w:tr w:rsidR="00C042D6" w:rsidRPr="002646EE" w:rsidTr="004E54C7">
        <w:trPr>
          <w:trHeight w:val="312"/>
        </w:trPr>
        <w:tc>
          <w:tcPr>
            <w:tcW w:w="4106" w:type="dxa"/>
            <w:noWrap/>
            <w:hideMark/>
          </w:tcPr>
          <w:p w:rsidR="00C042D6" w:rsidRPr="002646EE" w:rsidRDefault="00C042D6" w:rsidP="00C042D6">
            <w:pPr>
              <w:autoSpaceDE w:val="0"/>
              <w:autoSpaceDN w:val="0"/>
              <w:adjustRightInd w:val="0"/>
              <w:rPr>
                <w:rFonts w:ascii="Times New Roman" w:eastAsia="ArialMT" w:hAnsi="Times New Roman" w:cs="Times New Roman"/>
                <w:b/>
                <w:bCs/>
                <w:sz w:val="24"/>
                <w:szCs w:val="24"/>
              </w:rPr>
            </w:pPr>
            <w:r w:rsidRPr="002646EE">
              <w:rPr>
                <w:rFonts w:ascii="Times New Roman" w:eastAsia="ArialMT" w:hAnsi="Times New Roman" w:cs="Times New Roman"/>
                <w:b/>
                <w:bCs/>
                <w:sz w:val="24"/>
                <w:szCs w:val="24"/>
              </w:rPr>
              <w:t>Total Classified Phytochemicals</w:t>
            </w:r>
          </w:p>
        </w:tc>
        <w:tc>
          <w:tcPr>
            <w:tcW w:w="5528" w:type="dxa"/>
            <w:hideMark/>
          </w:tcPr>
          <w:p w:rsidR="00C042D6" w:rsidRPr="002646EE" w:rsidRDefault="00C042D6" w:rsidP="00C042D6">
            <w:pPr>
              <w:autoSpaceDE w:val="0"/>
              <w:autoSpaceDN w:val="0"/>
              <w:adjustRightInd w:val="0"/>
              <w:rPr>
                <w:rFonts w:ascii="Times New Roman" w:eastAsia="ArialMT" w:hAnsi="Times New Roman" w:cs="Times New Roman"/>
                <w:b/>
                <w:bCs/>
                <w:sz w:val="24"/>
                <w:szCs w:val="24"/>
              </w:rPr>
            </w:pPr>
          </w:p>
        </w:tc>
        <w:tc>
          <w:tcPr>
            <w:tcW w:w="3544" w:type="dxa"/>
            <w:hideMark/>
          </w:tcPr>
          <w:p w:rsidR="00C042D6" w:rsidRPr="002646EE" w:rsidRDefault="00C042D6" w:rsidP="00C042D6">
            <w:pPr>
              <w:autoSpaceDE w:val="0"/>
              <w:autoSpaceDN w:val="0"/>
              <w:adjustRightInd w:val="0"/>
              <w:rPr>
                <w:rFonts w:ascii="Times New Roman" w:eastAsia="ArialMT" w:hAnsi="Times New Roman" w:cs="Times New Roman"/>
                <w:sz w:val="24"/>
                <w:szCs w:val="24"/>
              </w:rPr>
            </w:pPr>
            <w:r w:rsidRPr="002646EE">
              <w:rPr>
                <w:rFonts w:ascii="Times New Roman" w:eastAsia="ArialMT" w:hAnsi="Times New Roman" w:cs="Times New Roman"/>
                <w:sz w:val="24"/>
                <w:szCs w:val="24"/>
              </w:rPr>
              <w:t>191</w:t>
            </w:r>
          </w:p>
        </w:tc>
      </w:tr>
    </w:tbl>
    <w:p w:rsidR="0073253F" w:rsidRPr="002646EE" w:rsidRDefault="0073253F" w:rsidP="0073253F">
      <w:pPr>
        <w:rPr>
          <w:rFonts w:ascii="Times New Roman" w:hAnsi="Times New Roman" w:cs="Times New Roman"/>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4E54C7" w:rsidP="0073253F">
      <w:pPr>
        <w:rPr>
          <w:rFonts w:ascii="Times New Roman" w:eastAsia="ArialMT" w:hAnsi="Times New Roman" w:cs="Times New Roman"/>
          <w:b/>
          <w:bCs/>
          <w:sz w:val="24"/>
          <w:szCs w:val="24"/>
        </w:rPr>
      </w:pPr>
    </w:p>
    <w:p w:rsidR="004E54C7" w:rsidRPr="002646EE" w:rsidRDefault="0073253F" w:rsidP="004E54C7">
      <w:pPr>
        <w:rPr>
          <w:rFonts w:ascii="Times New Roman" w:hAnsi="Times New Roman" w:cs="Times New Roman"/>
          <w:sz w:val="24"/>
          <w:szCs w:val="24"/>
        </w:rPr>
      </w:pPr>
      <w:r w:rsidRPr="002646EE">
        <w:rPr>
          <w:rFonts w:ascii="Times New Roman" w:eastAsia="ArialMT" w:hAnsi="Times New Roman" w:cs="Times New Roman"/>
          <w:b/>
          <w:bCs/>
          <w:sz w:val="24"/>
          <w:szCs w:val="24"/>
        </w:rPr>
        <w:t>Table 3</w:t>
      </w:r>
      <w:r w:rsidR="00CB2BBE" w:rsidRPr="002646EE">
        <w:rPr>
          <w:rFonts w:ascii="Times New Roman" w:eastAsia="ArialMT" w:hAnsi="Times New Roman" w:cs="Times New Roman"/>
          <w:b/>
          <w:bCs/>
          <w:sz w:val="24"/>
          <w:szCs w:val="24"/>
        </w:rPr>
        <w:t>:</w:t>
      </w:r>
      <w:r w:rsidRPr="002646EE">
        <w:rPr>
          <w:rFonts w:ascii="Times New Roman" w:eastAsia="ArialMT" w:hAnsi="Times New Roman" w:cs="Times New Roman"/>
          <w:iCs/>
          <w:color w:val="000000"/>
          <w:sz w:val="24"/>
          <w:szCs w:val="24"/>
        </w:rPr>
        <w:t xml:space="preserve"> 191 </w:t>
      </w:r>
      <w:r w:rsidR="004E54C7" w:rsidRPr="002646EE">
        <w:rPr>
          <w:rFonts w:ascii="Times New Roman" w:eastAsia="ArialMT" w:hAnsi="Times New Roman" w:cs="Times New Roman"/>
          <w:iCs/>
          <w:color w:val="000000"/>
          <w:sz w:val="24"/>
          <w:szCs w:val="24"/>
        </w:rPr>
        <w:t xml:space="preserve">Phytochemicals reported from  Ingredients of NK is classified under 23 classes using ClassyFire tool </w:t>
      </w:r>
    </w:p>
    <w:p w:rsidR="004E54C7" w:rsidRPr="002646EE" w:rsidRDefault="004E54C7" w:rsidP="0073253F">
      <w:pPr>
        <w:rPr>
          <w:rStyle w:val="NormalWebChar"/>
          <w:rFonts w:eastAsia="ArialMT"/>
        </w:rPr>
      </w:pPr>
      <w:r w:rsidRPr="002646EE">
        <w:rPr>
          <w:rStyle w:val="NormalWebChar"/>
          <w:rFonts w:eastAsia="ArialMT"/>
        </w:rPr>
        <w:t xml:space="preserve">      </w:t>
      </w:r>
    </w:p>
    <w:p w:rsidR="004E54C7" w:rsidRPr="002646EE" w:rsidRDefault="004E54C7" w:rsidP="0073253F">
      <w:pPr>
        <w:rPr>
          <w:rStyle w:val="NormalWebChar"/>
          <w:rFonts w:eastAsia="ArialMT"/>
        </w:rPr>
      </w:pPr>
    </w:p>
    <w:p w:rsidR="004E54C7" w:rsidRPr="002646EE" w:rsidRDefault="004E54C7" w:rsidP="0073253F">
      <w:pPr>
        <w:rPr>
          <w:rStyle w:val="NormalWebChar"/>
          <w:rFonts w:eastAsia="ArialMT"/>
        </w:rPr>
      </w:pPr>
    </w:p>
    <w:p w:rsidR="00CB2BBE" w:rsidRPr="002646EE" w:rsidRDefault="00CB2BBE" w:rsidP="008A5CBC">
      <w:pPr>
        <w:spacing w:after="0" w:line="240" w:lineRule="auto"/>
        <w:rPr>
          <w:rFonts w:ascii="Times New Roman" w:eastAsia="ArialMT" w:hAnsi="Times New Roman" w:cs="Times New Roman"/>
          <w:iCs/>
          <w:color w:val="000000"/>
          <w:sz w:val="24"/>
          <w:szCs w:val="24"/>
        </w:rPr>
      </w:pPr>
    </w:p>
    <w:p w:rsidR="0073253F" w:rsidRPr="002646EE" w:rsidRDefault="0073253F" w:rsidP="00CB2BBE">
      <w:pPr>
        <w:autoSpaceDE w:val="0"/>
        <w:autoSpaceDN w:val="0"/>
        <w:adjustRightInd w:val="0"/>
        <w:spacing w:after="0" w:line="240" w:lineRule="auto"/>
        <w:rPr>
          <w:rFonts w:ascii="Times New Roman" w:eastAsia="ArialMT" w:hAnsi="Times New Roman" w:cs="Times New Roman"/>
          <w:sz w:val="24"/>
          <w:szCs w:val="24"/>
          <w:u w:val="single"/>
        </w:rPr>
      </w:pPr>
    </w:p>
    <w:p w:rsidR="0073253F" w:rsidRPr="002646EE" w:rsidRDefault="0073253F" w:rsidP="00CB2BBE">
      <w:pPr>
        <w:autoSpaceDE w:val="0"/>
        <w:autoSpaceDN w:val="0"/>
        <w:adjustRightInd w:val="0"/>
        <w:spacing w:after="0" w:line="240" w:lineRule="auto"/>
        <w:rPr>
          <w:rFonts w:ascii="Times New Roman" w:eastAsia="ArialMT" w:hAnsi="Times New Roman" w:cs="Times New Roman"/>
          <w:sz w:val="24"/>
          <w:szCs w:val="24"/>
          <w:u w:val="single"/>
        </w:rPr>
      </w:pPr>
    </w:p>
    <w:p w:rsidR="0073253F" w:rsidRPr="002646EE" w:rsidRDefault="0073253F" w:rsidP="00CB2BBE">
      <w:pPr>
        <w:autoSpaceDE w:val="0"/>
        <w:autoSpaceDN w:val="0"/>
        <w:adjustRightInd w:val="0"/>
        <w:spacing w:after="0" w:line="240" w:lineRule="auto"/>
        <w:rPr>
          <w:rFonts w:ascii="Times New Roman" w:eastAsia="ArialMT" w:hAnsi="Times New Roman" w:cs="Times New Roman"/>
          <w:sz w:val="24"/>
          <w:szCs w:val="24"/>
          <w:u w:val="single"/>
        </w:rPr>
      </w:pPr>
    </w:p>
    <w:p w:rsidR="0073253F" w:rsidRPr="002646EE" w:rsidRDefault="0073253F" w:rsidP="00CB2BBE">
      <w:pPr>
        <w:autoSpaceDE w:val="0"/>
        <w:autoSpaceDN w:val="0"/>
        <w:adjustRightInd w:val="0"/>
        <w:spacing w:after="0" w:line="240" w:lineRule="auto"/>
        <w:rPr>
          <w:rFonts w:ascii="Times New Roman" w:eastAsia="ArialMT" w:hAnsi="Times New Roman" w:cs="Times New Roman"/>
          <w:sz w:val="24"/>
          <w:szCs w:val="24"/>
          <w:u w:val="single"/>
        </w:rPr>
      </w:pPr>
    </w:p>
    <w:p w:rsidR="00E57F95" w:rsidRPr="002646EE" w:rsidRDefault="00E57F95" w:rsidP="00C70D14">
      <w:pPr>
        <w:pStyle w:val="Heading3"/>
        <w:rPr>
          <w:rFonts w:ascii="Times New Roman" w:hAnsi="Times New Roman" w:cs="Times New Roman"/>
        </w:rPr>
      </w:pPr>
    </w:p>
    <w:p w:rsidR="00CB2BBE" w:rsidRPr="002646EE" w:rsidRDefault="00CB2BBE" w:rsidP="00C70D14">
      <w:pPr>
        <w:pStyle w:val="Heading3"/>
        <w:rPr>
          <w:rFonts w:ascii="Times New Roman" w:hAnsi="Times New Roman" w:cs="Times New Roman"/>
        </w:rPr>
      </w:pPr>
      <w:bookmarkStart w:id="35" w:name="_Toc171420561"/>
      <w:r w:rsidRPr="002646EE">
        <w:rPr>
          <w:rFonts w:ascii="Times New Roman" w:hAnsi="Times New Roman" w:cs="Times New Roman"/>
        </w:rPr>
        <w:t>Classification of Phytochemicals of VA</w:t>
      </w:r>
      <w:bookmarkEnd w:id="35"/>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u w:val="single"/>
        </w:rPr>
      </w:pPr>
    </w:p>
    <w:tbl>
      <w:tblPr>
        <w:tblStyle w:val="TableGrid"/>
        <w:tblW w:w="0" w:type="auto"/>
        <w:tblLook w:val="04A0" w:firstRow="1" w:lastRow="0" w:firstColumn="1" w:lastColumn="0" w:noHBand="0" w:noVBand="1"/>
      </w:tblPr>
      <w:tblGrid>
        <w:gridCol w:w="3964"/>
        <w:gridCol w:w="5245"/>
        <w:gridCol w:w="3969"/>
      </w:tblGrid>
      <w:tr w:rsidR="00CB2BBE" w:rsidRPr="002646EE" w:rsidTr="00E650EB">
        <w:trPr>
          <w:trHeight w:val="336"/>
        </w:trPr>
        <w:tc>
          <w:tcPr>
            <w:tcW w:w="3964" w:type="dxa"/>
            <w:shd w:val="clear" w:color="auto" w:fill="D0B2CB"/>
            <w:hideMark/>
          </w:tcPr>
          <w:p w:rsidR="00CB2BBE" w:rsidRPr="002646EE" w:rsidRDefault="00CB2BBE" w:rsidP="00A84C31">
            <w:pPr>
              <w:autoSpaceDE w:val="0"/>
              <w:autoSpaceDN w:val="0"/>
              <w:adjustRightInd w:val="0"/>
              <w:rPr>
                <w:rFonts w:ascii="Times New Roman" w:eastAsia="ArialMT" w:hAnsi="Times New Roman" w:cs="Times New Roman"/>
                <w:b/>
                <w:bCs/>
                <w:iCs/>
                <w:color w:val="000000"/>
                <w:sz w:val="24"/>
                <w:szCs w:val="24"/>
              </w:rPr>
            </w:pPr>
            <w:r w:rsidRPr="002646EE">
              <w:rPr>
                <w:rFonts w:ascii="Times New Roman" w:eastAsia="ArialMT" w:hAnsi="Times New Roman" w:cs="Times New Roman"/>
                <w:b/>
                <w:bCs/>
                <w:iCs/>
                <w:color w:val="000000"/>
                <w:sz w:val="24"/>
                <w:szCs w:val="24"/>
              </w:rPr>
              <w:t>Classes</w:t>
            </w:r>
          </w:p>
        </w:tc>
        <w:tc>
          <w:tcPr>
            <w:tcW w:w="5245" w:type="dxa"/>
            <w:shd w:val="clear" w:color="auto" w:fill="D0B2CB"/>
            <w:hideMark/>
          </w:tcPr>
          <w:p w:rsidR="00CB2BBE" w:rsidRPr="002646EE" w:rsidRDefault="00CB2BBE" w:rsidP="00A84C31">
            <w:pPr>
              <w:autoSpaceDE w:val="0"/>
              <w:autoSpaceDN w:val="0"/>
              <w:adjustRightInd w:val="0"/>
              <w:rPr>
                <w:rFonts w:ascii="Times New Roman" w:eastAsia="ArialMT" w:hAnsi="Times New Roman" w:cs="Times New Roman"/>
                <w:b/>
                <w:bCs/>
                <w:iCs/>
                <w:color w:val="000000"/>
                <w:sz w:val="24"/>
                <w:szCs w:val="24"/>
              </w:rPr>
            </w:pPr>
            <w:r w:rsidRPr="002646EE">
              <w:rPr>
                <w:rFonts w:ascii="Times New Roman" w:eastAsia="ArialMT" w:hAnsi="Times New Roman" w:cs="Times New Roman"/>
                <w:b/>
                <w:bCs/>
                <w:iCs/>
                <w:color w:val="000000"/>
                <w:sz w:val="24"/>
                <w:szCs w:val="24"/>
              </w:rPr>
              <w:t>Phytochemicals</w:t>
            </w:r>
          </w:p>
        </w:tc>
        <w:tc>
          <w:tcPr>
            <w:tcW w:w="3969" w:type="dxa"/>
            <w:shd w:val="clear" w:color="auto" w:fill="D0B2CB"/>
            <w:hideMark/>
          </w:tcPr>
          <w:p w:rsidR="00CB2BBE" w:rsidRPr="002646EE" w:rsidRDefault="00CB2BBE" w:rsidP="00A84C31">
            <w:pPr>
              <w:autoSpaceDE w:val="0"/>
              <w:autoSpaceDN w:val="0"/>
              <w:adjustRightInd w:val="0"/>
              <w:rPr>
                <w:rFonts w:ascii="Times New Roman" w:eastAsia="ArialMT" w:hAnsi="Times New Roman" w:cs="Times New Roman"/>
                <w:b/>
                <w:bCs/>
                <w:iCs/>
                <w:color w:val="000000"/>
                <w:sz w:val="24"/>
                <w:szCs w:val="24"/>
              </w:rPr>
            </w:pPr>
            <w:r w:rsidRPr="002646EE">
              <w:rPr>
                <w:rFonts w:ascii="Times New Roman" w:eastAsia="ArialMT" w:hAnsi="Times New Roman" w:cs="Times New Roman"/>
                <w:b/>
                <w:bCs/>
                <w:iCs/>
                <w:color w:val="000000"/>
                <w:sz w:val="24"/>
                <w:szCs w:val="24"/>
              </w:rPr>
              <w:t>Number of phytoconstituents</w:t>
            </w: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Steroids and steroid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Tenacissoside_G</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9</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Style w:val="NormalWebChar"/>
                <w:rFonts w:eastAsia="ArialMT"/>
              </w:rPr>
            </w:pPr>
            <w:r w:rsidRPr="002646EE">
              <w:rPr>
                <w:rStyle w:val="NormalWebChar"/>
                <w:rFonts w:eastAsia="ArialMT"/>
              </w:rPr>
              <w:t>Tenacissoside_L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Daucosterol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Marsdenin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Phytosterols</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Ecdysterone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Beta-sitosterol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Clion asterol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276"/>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Cinnamic acids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Cinnamic acid</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4</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Moupinamide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2-Coumarinate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Ferulic 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Coumarins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3-Hydroxycoumarin</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16</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Imperatorin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Isoimperatorin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Psoralen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Skimmin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Xanthotoxol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Scopoletin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Methoxsalen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Coumarin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Umbelliferone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Marmin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Marmesin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Aegelinol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Ammijin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Alloimperatorin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Isopimpinelli</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Prenol lipids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Dipentene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15</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Sitosteryl palmitate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Alpha-amyrin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Betulin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betulinic_acid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Friedelanol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Epilupeol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Friedlein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Hederagenin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Lupeol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Beta-Amyrin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Solavetivone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Arjungenin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Arjunolic_acid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Auraptene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276"/>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Quinolines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Gamma-Fagarine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3</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Skimmianine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Haplopine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Organooxygen compounds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Gentiobiose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13</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beta-D-Glucose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Anacardoside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9-Heptadecanone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Maltose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Pectin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Quinic_acid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Shikimic_acid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Sorbitol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Fructose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Glucose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Sucrose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Arabinose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Azoles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Halfordinol</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Naphthalenes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Plumbagin</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9</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2-Amino-1,4-naphthoquinone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3,3'-Biplumbagin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Chitranone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Droserone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Elliptinone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Seselin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Xanthoxyletin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Karanjin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Dihydrofurans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Ascorbic acid</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276"/>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Indolonaphthyridine alkaloids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Ervine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2</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Canthin-6-one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Flavonoids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Kaempferol 3-O-beta-D-galactoside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10</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Typhaneoside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Chrysin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Pongapin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Galluflavanone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Nallaflavanone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Isoquercitrin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Kaempferol-3-Rutinoside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Quercetin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Luteolin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Benzene and substituted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Vanillic acid</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8</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Benzyl-Amine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Syringic_acid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Anacardic_acid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Ethyl_Gallate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Phthalic_acid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Gallic 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Tembamide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Phenols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Vanillin</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3</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Cardol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Pyrocatechol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Phenanthrenes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Aristolochic_acid</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Aporphines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Magnoflorine</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Benzothiazoles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Saccharin</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Carboxylic acids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Asparagine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14</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Oxalic_acid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Succinicacid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Arginine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DL-Arginine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DL-Valine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L-Histidine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Leucine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Methionine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L-Threonine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Phenylalanine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Acetic_Acid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Chebulic-Acid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Proline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Fatty Acyls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1-Octacosanol</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13</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Stearic_acid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Linoleic-acid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Palmitic_acid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Oleic 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1-Decanol</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Hexacosanoic_acid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Octacosanoic_acid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Octadeca-9,12-Dienoic_Acid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Octadecanoate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Tetracosanoate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Tetracosanoic-</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Tetradecanoic_Acid</w:t>
            </w:r>
          </w:p>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Indoles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5-Hydroxytryptamine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2</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Dl-Tryptophan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Organonitrogen compounds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Histamine</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Tannins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ellagic acid</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12</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1,2,3,4,6-Pentagalloylglucose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1,3,6-Trigalloylglucose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beta-Glucogallin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Chebulanin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Pentagalloyl-Beta-D-Glucose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Terchebulin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Terchebin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Chebulagic 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Chebulinic acid</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Corilagin</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Tannic acid</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Biflavonoids and polyflavonoids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Amentoflavone</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Amino acids, peptides, and analogues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l-Isoleucine</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Pyridines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Nicotinate</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Indenes and isoindenes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1h-Indene</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Saturated hydrocarbons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Cyclododecane</w:t>
            </w:r>
          </w:p>
        </w:tc>
        <w:tc>
          <w:tcPr>
            <w:tcW w:w="3969" w:type="dxa"/>
            <w:vMerge w:val="restart"/>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2</w:t>
            </w:r>
          </w:p>
        </w:tc>
      </w:tr>
      <w:tr w:rsidR="00CB2BBE" w:rsidRPr="002646EE" w:rsidTr="008A5CBC">
        <w:trPr>
          <w:trHeight w:val="312"/>
        </w:trPr>
        <w:tc>
          <w:tcPr>
            <w:tcW w:w="3964"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Cyclohexane</w:t>
            </w:r>
          </w:p>
        </w:tc>
        <w:tc>
          <w:tcPr>
            <w:tcW w:w="3969" w:type="dxa"/>
            <w:vMerge/>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Alkyl halides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Heptafluorobutyric_Acid</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Style w:val="NormalWebChar"/>
                <w:rFonts w:eastAsia="ArialMT"/>
              </w:rPr>
            </w:pPr>
            <w:r w:rsidRPr="002646EE">
              <w:rPr>
                <w:rStyle w:val="NormalWebChar"/>
                <w:rFonts w:eastAsia="ArialMT"/>
              </w:rPr>
              <w:t>Epoxides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Oxirane</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Non-metal oxoanionic compounds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Phosphoric_acid</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Anthracenes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Sennoside-A</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Pteridines and derivatives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Riboflavin</w:t>
            </w: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w:t>
            </w:r>
          </w:p>
        </w:tc>
      </w:tr>
      <w:tr w:rsidR="00CB2BBE" w:rsidRPr="002646EE" w:rsidTr="008A5CBC">
        <w:trPr>
          <w:trHeight w:val="312"/>
        </w:trPr>
        <w:tc>
          <w:tcPr>
            <w:tcW w:w="3964"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Total no. of Phytochemicals</w:t>
            </w:r>
          </w:p>
        </w:tc>
        <w:tc>
          <w:tcPr>
            <w:tcW w:w="5245" w:type="dxa"/>
            <w:noWrap/>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p>
        </w:tc>
        <w:tc>
          <w:tcPr>
            <w:tcW w:w="3969" w:type="dxa"/>
            <w:hideMark/>
          </w:tcPr>
          <w:p w:rsidR="00CB2BBE" w:rsidRPr="002646EE" w:rsidRDefault="00CB2BBE" w:rsidP="00A84C31">
            <w:pPr>
              <w:autoSpaceDE w:val="0"/>
              <w:autoSpaceDN w:val="0"/>
              <w:adjustRightInd w:val="0"/>
              <w:rPr>
                <w:rFonts w:ascii="Times New Roman" w:eastAsia="ArialMT" w:hAnsi="Times New Roman" w:cs="Times New Roman"/>
                <w:iCs/>
                <w:color w:val="000000"/>
                <w:sz w:val="24"/>
                <w:szCs w:val="24"/>
              </w:rPr>
            </w:pPr>
            <w:r w:rsidRPr="002646EE">
              <w:rPr>
                <w:rFonts w:ascii="Times New Roman" w:eastAsia="ArialMT" w:hAnsi="Times New Roman" w:cs="Times New Roman"/>
                <w:iCs/>
                <w:color w:val="000000"/>
                <w:sz w:val="24"/>
                <w:szCs w:val="24"/>
              </w:rPr>
              <w:t>150</w:t>
            </w:r>
          </w:p>
        </w:tc>
      </w:tr>
    </w:tbl>
    <w:p w:rsidR="00CB2BBE" w:rsidRPr="002646EE" w:rsidRDefault="00CB2BBE" w:rsidP="00CB2BBE">
      <w:pPr>
        <w:autoSpaceDE w:val="0"/>
        <w:autoSpaceDN w:val="0"/>
        <w:adjustRightInd w:val="0"/>
        <w:spacing w:after="0" w:line="240" w:lineRule="auto"/>
        <w:rPr>
          <w:rFonts w:ascii="Times New Roman" w:eastAsia="ArialMT" w:hAnsi="Times New Roman" w:cs="Times New Roman"/>
          <w:i/>
          <w:iCs/>
          <w:color w:val="000000"/>
          <w:sz w:val="24"/>
          <w:szCs w:val="24"/>
        </w:rPr>
      </w:pPr>
      <w:r w:rsidRPr="002646EE">
        <w:rPr>
          <w:rFonts w:ascii="Times New Roman" w:eastAsia="ArialMT" w:hAnsi="Times New Roman" w:cs="Times New Roman"/>
          <w:i/>
          <w:iCs/>
          <w:color w:val="000000"/>
          <w:sz w:val="24"/>
          <w:szCs w:val="24"/>
        </w:rPr>
        <w:t xml:space="preserve">               </w:t>
      </w:r>
    </w:p>
    <w:p w:rsidR="00CB2BBE" w:rsidRPr="002646EE" w:rsidRDefault="00CB2BBE" w:rsidP="00CB2BBE">
      <w:pPr>
        <w:pStyle w:val="Footer"/>
        <w:rPr>
          <w:rStyle w:val="NormalWebChar"/>
          <w:rFonts w:eastAsia="ArialMT"/>
        </w:rPr>
      </w:pPr>
      <w:r w:rsidRPr="002646EE">
        <w:rPr>
          <w:rFonts w:ascii="Times New Roman" w:hAnsi="Times New Roman" w:cs="Times New Roman"/>
          <w:b/>
          <w:i/>
          <w:iCs/>
          <w:color w:val="000000"/>
          <w:sz w:val="24"/>
          <w:szCs w:val="24"/>
        </w:rPr>
        <w:t xml:space="preserve">    </w:t>
      </w:r>
      <w:r w:rsidR="0073253F" w:rsidRPr="002646EE">
        <w:rPr>
          <w:rFonts w:ascii="Times New Roman" w:hAnsi="Times New Roman" w:cs="Times New Roman"/>
          <w:b/>
          <w:iCs/>
          <w:color w:val="000000"/>
          <w:sz w:val="24"/>
          <w:szCs w:val="24"/>
        </w:rPr>
        <w:t>Table 4</w:t>
      </w:r>
      <w:r w:rsidRPr="002646EE">
        <w:rPr>
          <w:rFonts w:ascii="Times New Roman" w:hAnsi="Times New Roman" w:cs="Times New Roman"/>
          <w:b/>
          <w:iCs/>
          <w:color w:val="000000"/>
          <w:sz w:val="24"/>
          <w:szCs w:val="24"/>
        </w:rPr>
        <w:t>:</w:t>
      </w:r>
      <w:r w:rsidR="0073253F" w:rsidRPr="002646EE">
        <w:rPr>
          <w:rFonts w:ascii="Times New Roman" w:hAnsi="Times New Roman" w:cs="Times New Roman"/>
          <w:b/>
          <w:iCs/>
          <w:color w:val="000000"/>
          <w:sz w:val="24"/>
          <w:szCs w:val="24"/>
        </w:rPr>
        <w:t xml:space="preserve"> </w:t>
      </w:r>
      <w:r w:rsidR="0073253F" w:rsidRPr="002646EE">
        <w:rPr>
          <w:rFonts w:ascii="Times New Roman" w:hAnsi="Times New Roman" w:cs="Times New Roman"/>
          <w:iCs/>
          <w:color w:val="000000"/>
          <w:sz w:val="24"/>
          <w:szCs w:val="24"/>
        </w:rPr>
        <w:t>150</w:t>
      </w:r>
      <w:r w:rsidRPr="002646EE">
        <w:rPr>
          <w:rFonts w:ascii="Times New Roman" w:hAnsi="Times New Roman" w:cs="Times New Roman"/>
          <w:iCs/>
          <w:color w:val="000000"/>
          <w:sz w:val="24"/>
          <w:szCs w:val="24"/>
        </w:rPr>
        <w:t xml:space="preserve"> </w:t>
      </w:r>
      <w:r w:rsidR="0073253F" w:rsidRPr="002646EE">
        <w:rPr>
          <w:rStyle w:val="NormalWebChar"/>
          <w:rFonts w:eastAsia="ArialMT"/>
        </w:rPr>
        <w:t xml:space="preserve">Phytochemicals reported from </w:t>
      </w:r>
      <w:r w:rsidRPr="002646EE">
        <w:rPr>
          <w:rStyle w:val="NormalWebChar"/>
          <w:rFonts w:eastAsia="ArialMT"/>
        </w:rPr>
        <w:t xml:space="preserve">Ingredients of VA is classified under 31 classes using classyfire tool </w:t>
      </w:r>
    </w:p>
    <w:p w:rsidR="00CB2BBE" w:rsidRPr="002646EE" w:rsidRDefault="00CB2BBE" w:rsidP="00CB2BBE">
      <w:pPr>
        <w:pStyle w:val="Footer"/>
        <w:rPr>
          <w:rStyle w:val="NormalWebChar"/>
          <w:rFonts w:eastAsia="ArialMT"/>
        </w:rPr>
      </w:pPr>
    </w:p>
    <w:p w:rsidR="0073253F" w:rsidRPr="002646EE" w:rsidRDefault="0073253F" w:rsidP="00CB2BBE">
      <w:pPr>
        <w:pStyle w:val="Footer"/>
        <w:rPr>
          <w:rStyle w:val="NormalWebChar"/>
          <w:rFonts w:eastAsia="ArialMT"/>
        </w:rPr>
      </w:pPr>
    </w:p>
    <w:p w:rsidR="0073253F" w:rsidRPr="002646EE" w:rsidRDefault="0073253F" w:rsidP="00CB2BBE">
      <w:pPr>
        <w:pStyle w:val="Footer"/>
        <w:rPr>
          <w:rStyle w:val="NormalWebChar"/>
          <w:rFonts w:eastAsia="ArialMT"/>
        </w:rPr>
      </w:pPr>
    </w:p>
    <w:p w:rsidR="0073253F" w:rsidRPr="002646EE" w:rsidRDefault="0073253F" w:rsidP="00CB2BBE">
      <w:pPr>
        <w:pStyle w:val="Footer"/>
        <w:rPr>
          <w:rStyle w:val="NormalWebChar"/>
          <w:rFonts w:eastAsia="ArialMT"/>
        </w:rPr>
      </w:pPr>
    </w:p>
    <w:p w:rsidR="004E54C7" w:rsidRPr="002646EE" w:rsidRDefault="004E54C7" w:rsidP="00CB2BBE">
      <w:pPr>
        <w:pStyle w:val="Footer"/>
        <w:rPr>
          <w:rStyle w:val="NormalWebChar"/>
          <w:rFonts w:eastAsia="ArialMT"/>
        </w:rPr>
        <w:sectPr w:rsidR="004E54C7" w:rsidRPr="002646EE" w:rsidSect="001E505F">
          <w:pgSz w:w="16838" w:h="11906" w:orient="landscape"/>
          <w:pgMar w:top="1440" w:right="1440" w:bottom="1440" w:left="1440" w:header="708" w:footer="708" w:gutter="0"/>
          <w:cols w:space="708"/>
          <w:docGrid w:linePitch="360"/>
        </w:sectPr>
      </w:pPr>
    </w:p>
    <w:p w:rsidR="00CB2BBE" w:rsidRPr="002646EE" w:rsidRDefault="00CB2BBE" w:rsidP="00CB2BBE">
      <w:pPr>
        <w:pStyle w:val="Footer"/>
        <w:rPr>
          <w:rStyle w:val="NormalWebChar"/>
          <w:rFonts w:eastAsia="ArialMT"/>
        </w:rPr>
      </w:pPr>
      <w:r w:rsidRPr="002646EE">
        <w:rPr>
          <w:rFonts w:ascii="Times New Roman" w:hAnsi="Times New Roman" w:cs="Times New Roman"/>
          <w:noProof/>
          <w:sz w:val="24"/>
          <w:szCs w:val="24"/>
          <w:lang w:eastAsia="en-IN"/>
        </w:rPr>
        <w:lastRenderedPageBreak/>
        <mc:AlternateContent>
          <mc:Choice Requires="cx1">
            <w:drawing>
              <wp:anchor distT="0" distB="0" distL="114300" distR="114300" simplePos="0" relativeHeight="251669504" behindDoc="0" locked="0" layoutInCell="1" allowOverlap="1" wp14:anchorId="6686187C" wp14:editId="416645E8">
                <wp:simplePos x="0" y="0"/>
                <wp:positionH relativeFrom="column">
                  <wp:posOffset>0</wp:posOffset>
                </wp:positionH>
                <wp:positionV relativeFrom="paragraph">
                  <wp:posOffset>177165</wp:posOffset>
                </wp:positionV>
                <wp:extent cx="5731510" cy="4061460"/>
                <wp:effectExtent l="0" t="0" r="2540" b="15240"/>
                <wp:wrapTopAndBottom/>
                <wp:docPr id="5" name="Chart 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drawing>
              <wp:anchor distT="0" distB="0" distL="114300" distR="114300" simplePos="0" relativeHeight="251669504" behindDoc="0" locked="0" layoutInCell="1" allowOverlap="1" wp14:anchorId="6686187C" wp14:editId="416645E8">
                <wp:simplePos x="0" y="0"/>
                <wp:positionH relativeFrom="column">
                  <wp:posOffset>0</wp:posOffset>
                </wp:positionH>
                <wp:positionV relativeFrom="paragraph">
                  <wp:posOffset>177165</wp:posOffset>
                </wp:positionV>
                <wp:extent cx="5731510" cy="4061460"/>
                <wp:effectExtent l="0" t="0" r="2540" b="15240"/>
                <wp:wrapTopAndBottom/>
                <wp:docPr id="5" name="Chart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pic:cNvPicPr>
                          <a:picLocks noGrp="1" noRot="1" noChangeAspect="1" noMove="1" noResize="1" noEditPoints="1" noAdjustHandles="1" noChangeArrowheads="1" noChangeShapeType="1"/>
                        </pic:cNvPicPr>
                      </pic:nvPicPr>
                      <pic:blipFill>
                        <a:blip r:embed="rId23"/>
                        <a:stretch>
                          <a:fillRect/>
                        </a:stretch>
                      </pic:blipFill>
                      <pic:spPr>
                        <a:xfrm>
                          <a:off x="0" y="0"/>
                          <a:ext cx="5731510" cy="4061460"/>
                        </a:xfrm>
                        <a:prstGeom prst="rect">
                          <a:avLst/>
                        </a:prstGeom>
                      </pic:spPr>
                    </pic:pic>
                  </a:graphicData>
                </a:graphic>
              </wp:anchor>
            </w:drawing>
          </mc:Fallback>
        </mc:AlternateContent>
      </w:r>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u w:val="single"/>
        </w:rPr>
      </w:pPr>
    </w:p>
    <w:p w:rsidR="00AA4EE5" w:rsidRPr="002646EE" w:rsidRDefault="001E6CC5" w:rsidP="00AA4EE5">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hAnsi="Times New Roman" w:cs="Times New Roman"/>
          <w:b/>
          <w:sz w:val="24"/>
          <w:szCs w:val="24"/>
        </w:rPr>
        <w:t>FIGURE 3.</w:t>
      </w:r>
      <w:r w:rsidRPr="002646EE">
        <w:rPr>
          <w:rFonts w:ascii="Times New Roman" w:hAnsi="Times New Roman" w:cs="Times New Roman"/>
          <w:sz w:val="24"/>
          <w:szCs w:val="24"/>
        </w:rPr>
        <w:t xml:space="preserve"> </w:t>
      </w:r>
      <w:r w:rsidR="00AA4EE5" w:rsidRPr="002646EE">
        <w:rPr>
          <w:rFonts w:ascii="Times New Roman" w:hAnsi="Times New Roman" w:cs="Times New Roman"/>
          <w:sz w:val="24"/>
          <w:szCs w:val="24"/>
        </w:rPr>
        <w:t>Reported p</w:t>
      </w:r>
      <w:r w:rsidRPr="002646EE">
        <w:rPr>
          <w:rFonts w:ascii="Times New Roman" w:hAnsi="Times New Roman" w:cs="Times New Roman"/>
          <w:sz w:val="24"/>
          <w:szCs w:val="24"/>
        </w:rPr>
        <w:t xml:space="preserve">hytochemicals from </w:t>
      </w:r>
      <w:r w:rsidR="00AA4EE5" w:rsidRPr="002646EE">
        <w:rPr>
          <w:rFonts w:ascii="Times New Roman" w:hAnsi="Times New Roman" w:cs="Times New Roman"/>
          <w:sz w:val="24"/>
          <w:szCs w:val="24"/>
        </w:rPr>
        <w:t>ingredients of NK have been classified into 23 distinct classes.</w:t>
      </w:r>
      <w:r w:rsidR="00AA4EE5" w:rsidRPr="002646EE">
        <w:rPr>
          <w:rFonts w:ascii="Times New Roman" w:eastAsia="ArialMT" w:hAnsi="Times New Roman" w:cs="Times New Roman"/>
          <w:sz w:val="24"/>
          <w:szCs w:val="24"/>
        </w:rPr>
        <w:t>Prenol lipids class is having</w:t>
      </w:r>
      <w:r w:rsidR="00C042D6" w:rsidRPr="002646EE">
        <w:rPr>
          <w:rFonts w:ascii="Times New Roman" w:eastAsia="ArialMT" w:hAnsi="Times New Roman" w:cs="Times New Roman"/>
          <w:sz w:val="24"/>
          <w:szCs w:val="24"/>
        </w:rPr>
        <w:t xml:space="preserve"> more number (</w:t>
      </w:r>
      <w:r w:rsidR="00AA4EE5" w:rsidRPr="002646EE">
        <w:rPr>
          <w:rFonts w:ascii="Times New Roman" w:eastAsia="ArialMT" w:hAnsi="Times New Roman" w:cs="Times New Roman"/>
          <w:sz w:val="24"/>
          <w:szCs w:val="24"/>
        </w:rPr>
        <w:t>80</w:t>
      </w:r>
      <w:r w:rsidR="00C042D6" w:rsidRPr="002646EE">
        <w:rPr>
          <w:rFonts w:ascii="Times New Roman" w:eastAsia="ArialMT" w:hAnsi="Times New Roman" w:cs="Times New Roman"/>
          <w:sz w:val="24"/>
          <w:szCs w:val="24"/>
        </w:rPr>
        <w:t>) of</w:t>
      </w:r>
      <w:r w:rsidR="00AA4EE5" w:rsidRPr="002646EE">
        <w:rPr>
          <w:rFonts w:ascii="Times New Roman" w:eastAsia="ArialMT" w:hAnsi="Times New Roman" w:cs="Times New Roman"/>
          <w:sz w:val="24"/>
          <w:szCs w:val="24"/>
        </w:rPr>
        <w:t xml:space="preserve"> different phytochemi</w:t>
      </w:r>
      <w:r w:rsidR="00C042D6" w:rsidRPr="002646EE">
        <w:rPr>
          <w:rFonts w:ascii="Times New Roman" w:eastAsia="ArialMT" w:hAnsi="Times New Roman" w:cs="Times New Roman"/>
          <w:sz w:val="24"/>
          <w:szCs w:val="24"/>
        </w:rPr>
        <w:t>cals ,4 distinct classes of compounds are having least numbe</w:t>
      </w:r>
      <w:r w:rsidRPr="002646EE">
        <w:rPr>
          <w:rFonts w:ascii="Times New Roman" w:eastAsia="ArialMT" w:hAnsi="Times New Roman" w:cs="Times New Roman"/>
          <w:sz w:val="24"/>
          <w:szCs w:val="24"/>
        </w:rPr>
        <w:t xml:space="preserve">r of phytochemicals (1) in NK </w:t>
      </w:r>
      <w:r w:rsidR="00C042D6" w:rsidRPr="002646EE">
        <w:rPr>
          <w:rFonts w:ascii="Times New Roman" w:eastAsia="ArialMT" w:hAnsi="Times New Roman" w:cs="Times New Roman"/>
          <w:sz w:val="24"/>
          <w:szCs w:val="24"/>
        </w:rPr>
        <w:t>formulati</w:t>
      </w:r>
      <w:r w:rsidR="008223EE">
        <w:rPr>
          <w:rFonts w:ascii="Times New Roman" w:eastAsia="ArialMT" w:hAnsi="Times New Roman" w:cs="Times New Roman"/>
          <w:sz w:val="24"/>
          <w:szCs w:val="24"/>
        </w:rPr>
        <w:t>o</w:t>
      </w:r>
      <w:r w:rsidR="00C042D6" w:rsidRPr="002646EE">
        <w:rPr>
          <w:rFonts w:ascii="Times New Roman" w:eastAsia="ArialMT" w:hAnsi="Times New Roman" w:cs="Times New Roman"/>
          <w:sz w:val="24"/>
          <w:szCs w:val="24"/>
        </w:rPr>
        <w:t>n.</w:t>
      </w:r>
    </w:p>
    <w:p w:rsidR="00CB2BBE" w:rsidRPr="002646EE" w:rsidRDefault="00CB2BBE" w:rsidP="00CB2BBE">
      <w:pPr>
        <w:spacing w:after="0" w:line="240" w:lineRule="auto"/>
        <w:rPr>
          <w:rStyle w:val="NormalWebChar"/>
          <w:rFonts w:eastAsia="ArialMT"/>
        </w:rPr>
      </w:pPr>
      <w:r w:rsidRPr="002646EE">
        <w:rPr>
          <w:rFonts w:ascii="Times New Roman" w:hAnsi="Times New Roman" w:cs="Times New Roman"/>
          <w:noProof/>
          <w:sz w:val="24"/>
          <w:szCs w:val="24"/>
          <w:lang w:eastAsia="en-IN"/>
        </w:rPr>
        <w:lastRenderedPageBreak/>
        <mc:AlternateContent>
          <mc:Choice Requires="cx1">
            <w:drawing>
              <wp:anchor distT="0" distB="0" distL="114300" distR="114300" simplePos="0" relativeHeight="251670528" behindDoc="0" locked="0" layoutInCell="1" allowOverlap="1" wp14:anchorId="0B94AE99" wp14:editId="61FAEAD6">
                <wp:simplePos x="0" y="0"/>
                <wp:positionH relativeFrom="column">
                  <wp:posOffset>0</wp:posOffset>
                </wp:positionH>
                <wp:positionV relativeFrom="paragraph">
                  <wp:posOffset>232410</wp:posOffset>
                </wp:positionV>
                <wp:extent cx="5454015" cy="3625215"/>
                <wp:effectExtent l="0" t="0" r="13335" b="13335"/>
                <wp:wrapSquare wrapText="bothSides"/>
                <wp:docPr id="7" name="Chart 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drawing>
              <wp:anchor distT="0" distB="0" distL="114300" distR="114300" simplePos="0" relativeHeight="251670528" behindDoc="0" locked="0" layoutInCell="1" allowOverlap="1" wp14:anchorId="0B94AE99" wp14:editId="61FAEAD6">
                <wp:simplePos x="0" y="0"/>
                <wp:positionH relativeFrom="column">
                  <wp:posOffset>0</wp:posOffset>
                </wp:positionH>
                <wp:positionV relativeFrom="paragraph">
                  <wp:posOffset>232410</wp:posOffset>
                </wp:positionV>
                <wp:extent cx="5454015" cy="3625215"/>
                <wp:effectExtent l="0" t="0" r="13335" b="13335"/>
                <wp:wrapSquare wrapText="bothSides"/>
                <wp:docPr id="7" name="Chart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pic:cNvPicPr>
                          <a:picLocks noGrp="1" noRot="1" noChangeAspect="1" noMove="1" noResize="1" noEditPoints="1" noAdjustHandles="1" noChangeArrowheads="1" noChangeShapeType="1"/>
                        </pic:cNvPicPr>
                      </pic:nvPicPr>
                      <pic:blipFill>
                        <a:blip r:embed="rId25"/>
                        <a:stretch>
                          <a:fillRect/>
                        </a:stretch>
                      </pic:blipFill>
                      <pic:spPr>
                        <a:xfrm>
                          <a:off x="0" y="0"/>
                          <a:ext cx="5454015" cy="362521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rsidR="002A5FE7" w:rsidRPr="002646EE" w:rsidRDefault="00CB2BBE" w:rsidP="002A5FE7">
      <w:pPr>
        <w:autoSpaceDE w:val="0"/>
        <w:autoSpaceDN w:val="0"/>
        <w:adjustRightInd w:val="0"/>
        <w:spacing w:after="0" w:line="360" w:lineRule="auto"/>
        <w:jc w:val="both"/>
        <w:rPr>
          <w:rStyle w:val="NormalWebChar"/>
          <w:rFonts w:eastAsia="ArialMT"/>
          <w:i/>
          <w:iCs/>
          <w:lang w:eastAsia="en-US"/>
        </w:rPr>
      </w:pPr>
      <w:r w:rsidRPr="002646EE">
        <w:rPr>
          <w:rFonts w:ascii="Times New Roman" w:eastAsia="ArialMT" w:hAnsi="Times New Roman" w:cs="Times New Roman"/>
          <w:i/>
          <w:iCs/>
          <w:sz w:val="24"/>
          <w:szCs w:val="24"/>
        </w:rPr>
        <w:t xml:space="preserve"> </w:t>
      </w:r>
      <w:r w:rsidR="001E6CC5" w:rsidRPr="002646EE">
        <w:rPr>
          <w:rFonts w:ascii="Times New Roman" w:eastAsia="ArialMT" w:hAnsi="Times New Roman" w:cs="Times New Roman"/>
          <w:b/>
          <w:bCs/>
          <w:sz w:val="24"/>
          <w:szCs w:val="24"/>
        </w:rPr>
        <w:t>FIGURE 4.</w:t>
      </w:r>
      <w:r w:rsidR="001E6CC5" w:rsidRPr="002646EE">
        <w:rPr>
          <w:rStyle w:val="NormalWebChar"/>
          <w:rFonts w:eastAsia="ArialMT"/>
        </w:rPr>
        <w:t xml:space="preserve"> </w:t>
      </w:r>
      <w:r w:rsidR="0073253F" w:rsidRPr="002646EE">
        <w:rPr>
          <w:rStyle w:val="NormalWebChar"/>
          <w:rFonts w:eastAsia="ArialMT"/>
        </w:rPr>
        <w:t>Reported</w:t>
      </w:r>
      <w:r w:rsidRPr="002646EE">
        <w:rPr>
          <w:rStyle w:val="NormalWebChar"/>
          <w:rFonts w:eastAsia="ArialMT"/>
        </w:rPr>
        <w:t xml:space="preserve"> P</w:t>
      </w:r>
      <w:r w:rsidR="001E6CC5" w:rsidRPr="002646EE">
        <w:rPr>
          <w:rStyle w:val="NormalWebChar"/>
          <w:rFonts w:eastAsiaTheme="minorHAnsi"/>
        </w:rPr>
        <w:t xml:space="preserve">hytochemicals from </w:t>
      </w:r>
      <w:r w:rsidRPr="002646EE">
        <w:rPr>
          <w:rStyle w:val="NormalWebChar"/>
          <w:rFonts w:eastAsiaTheme="minorHAnsi"/>
        </w:rPr>
        <w:t>ingredients of VA have been classified into 31 classes</w:t>
      </w:r>
      <w:r w:rsidR="002A5FE7" w:rsidRPr="002646EE">
        <w:rPr>
          <w:rStyle w:val="NormalWebChar"/>
          <w:rFonts w:eastAsiaTheme="minorHAnsi"/>
        </w:rPr>
        <w:t>.</w:t>
      </w:r>
      <w:r w:rsidR="002A5FE7" w:rsidRPr="002646EE">
        <w:rPr>
          <w:rStyle w:val="NormalWebChar"/>
          <w:rFonts w:eastAsia="ArialMT"/>
        </w:rPr>
        <w:t xml:space="preserve"> Coumarins and derivatives class is having more number (16) of different phytochemicals ,15 distinct classes of compounds are having least number of phytochemicals (1) in this formulati</w:t>
      </w:r>
      <w:r w:rsidR="008223EE">
        <w:rPr>
          <w:rStyle w:val="NormalWebChar"/>
          <w:rFonts w:eastAsia="ArialMT"/>
        </w:rPr>
        <w:t>o</w:t>
      </w:r>
      <w:r w:rsidR="002A5FE7" w:rsidRPr="002646EE">
        <w:rPr>
          <w:rStyle w:val="NormalWebChar"/>
          <w:rFonts w:eastAsia="ArialMT"/>
        </w:rPr>
        <w:t>n.</w:t>
      </w:r>
    </w:p>
    <w:p w:rsidR="002D6B34" w:rsidRPr="002646EE" w:rsidRDefault="002D6B34" w:rsidP="002D6B34">
      <w:pPr>
        <w:pStyle w:val="Heading2"/>
        <w:rPr>
          <w:rStyle w:val="NormalWebChar"/>
          <w:rFonts w:eastAsiaTheme="minorHAnsi"/>
          <w:b w:val="0"/>
          <w:color w:val="000000"/>
          <w14:textFill>
            <w14:solidFill>
              <w14:srgbClr w14:val="000000">
                <w14:lumMod w14:val="75000"/>
              </w14:srgbClr>
            </w14:solidFill>
          </w14:textFill>
        </w:rPr>
      </w:pPr>
    </w:p>
    <w:p w:rsidR="00F435B8" w:rsidRPr="002646EE" w:rsidRDefault="002D6B34" w:rsidP="002D6B34">
      <w:pPr>
        <w:pStyle w:val="Heading2"/>
      </w:pPr>
      <w:bookmarkStart w:id="36" w:name="_Toc171420562"/>
      <w:r w:rsidRPr="002646EE">
        <w:t xml:space="preserve">3.2 </w:t>
      </w:r>
      <w:r w:rsidR="00F435B8" w:rsidRPr="002646EE">
        <w:t>Phytochemicals of NK and VA targeting diabetic associated genes.</w:t>
      </w:r>
      <w:bookmarkEnd w:id="36"/>
    </w:p>
    <w:p w:rsidR="00CB2BBE" w:rsidRPr="002646EE" w:rsidRDefault="00CB2BBE" w:rsidP="00CB2BBE">
      <w:pPr>
        <w:spacing w:after="0" w:line="360" w:lineRule="auto"/>
        <w:jc w:val="both"/>
        <w:rPr>
          <w:rFonts w:ascii="Times New Roman" w:hAnsi="Times New Roman" w:cs="Times New Roman"/>
          <w:sz w:val="24"/>
          <w:szCs w:val="24"/>
        </w:rPr>
      </w:pPr>
      <w:r w:rsidRPr="002646EE">
        <w:rPr>
          <w:rFonts w:ascii="Times New Roman" w:hAnsi="Times New Roman" w:cs="Times New Roman"/>
          <w:sz w:val="24"/>
          <w:szCs w:val="24"/>
        </w:rPr>
        <w:t>From the previously gathered data,  Manually  which phyto</w:t>
      </w:r>
      <w:r w:rsidR="00A84C31" w:rsidRPr="002646EE">
        <w:rPr>
          <w:rFonts w:ascii="Times New Roman" w:hAnsi="Times New Roman" w:cs="Times New Roman"/>
          <w:sz w:val="24"/>
          <w:szCs w:val="24"/>
        </w:rPr>
        <w:t>chemicals from the plants of</w:t>
      </w:r>
      <w:r w:rsidRPr="002646EE">
        <w:rPr>
          <w:rFonts w:ascii="Times New Roman" w:hAnsi="Times New Roman" w:cs="Times New Roman"/>
          <w:sz w:val="24"/>
          <w:szCs w:val="24"/>
        </w:rPr>
        <w:t xml:space="preserve"> NK formulation target 23 specific genes and which phytochemicals from the plants in the VA formulation target 16 specific genes is done.</w:t>
      </w:r>
    </w:p>
    <w:p w:rsidR="00CB2BBE" w:rsidRPr="002646EE" w:rsidRDefault="00CB2BBE" w:rsidP="00CB2BBE">
      <w:pPr>
        <w:spacing w:after="0" w:line="360" w:lineRule="auto"/>
        <w:jc w:val="both"/>
        <w:rPr>
          <w:rFonts w:ascii="Times New Roman" w:hAnsi="Times New Roman" w:cs="Times New Roman"/>
          <w:sz w:val="24"/>
          <w:szCs w:val="24"/>
        </w:rPr>
      </w:pPr>
      <w:r w:rsidRPr="002646EE">
        <w:rPr>
          <w:rFonts w:ascii="Times New Roman" w:hAnsi="Times New Roman" w:cs="Times New Roman"/>
          <w:sz w:val="24"/>
          <w:szCs w:val="24"/>
        </w:rPr>
        <w:t xml:space="preserve">Among these 23 and 16 genes, through venn diagram analysis it has been found out  there are 13 common genes targeted by both NK and VA formulation, 3 genes exclusively targeted by the VA formulation and 10 genes exclusively targeted by NK formulation, by the following information out of curious </w:t>
      </w:r>
      <w:r w:rsidR="00A84C31" w:rsidRPr="002646EE">
        <w:rPr>
          <w:rFonts w:ascii="Times New Roman" w:hAnsi="Times New Roman" w:cs="Times New Roman"/>
          <w:sz w:val="24"/>
          <w:szCs w:val="24"/>
        </w:rPr>
        <w:t>which phytochemicals of NK and VA formulation is targergeting</w:t>
      </w:r>
      <w:r w:rsidR="00F435B8" w:rsidRPr="002646EE">
        <w:rPr>
          <w:rFonts w:ascii="Times New Roman" w:hAnsi="Times New Roman" w:cs="Times New Roman"/>
          <w:sz w:val="24"/>
          <w:szCs w:val="24"/>
        </w:rPr>
        <w:t xml:space="preserve"> overlapped </w:t>
      </w:r>
      <w:r w:rsidR="00A84C31" w:rsidRPr="002646EE">
        <w:rPr>
          <w:rFonts w:ascii="Times New Roman" w:hAnsi="Times New Roman" w:cs="Times New Roman"/>
          <w:sz w:val="24"/>
          <w:szCs w:val="24"/>
        </w:rPr>
        <w:t>13</w:t>
      </w:r>
      <w:r w:rsidR="00F435B8" w:rsidRPr="002646EE">
        <w:rPr>
          <w:rFonts w:ascii="Times New Roman" w:hAnsi="Times New Roman" w:cs="Times New Roman"/>
          <w:sz w:val="24"/>
          <w:szCs w:val="24"/>
        </w:rPr>
        <w:t xml:space="preserve"> diabetic associated gene, which phytochemicals of VA is exclusively targeting 3 diabetic associated genes and which phytochemicals of NK is exclusively targeting 10 diabetic associated gene is being sorted in the below tables.</w:t>
      </w:r>
      <w:r w:rsidRPr="002646EE">
        <w:rPr>
          <w:rFonts w:ascii="Times New Roman" w:hAnsi="Times New Roman" w:cs="Times New Roman"/>
          <w:sz w:val="24"/>
          <w:szCs w:val="24"/>
        </w:rPr>
        <w:t xml:space="preserve"> This sorting was completed using Microsoft Excel.</w:t>
      </w:r>
    </w:p>
    <w:p w:rsidR="002A5FE7" w:rsidRPr="002646EE" w:rsidRDefault="002A5FE7" w:rsidP="00CB2BBE">
      <w:pPr>
        <w:rPr>
          <w:rStyle w:val="NormalWebChar"/>
          <w:rFonts w:eastAsiaTheme="minorHAnsi"/>
          <w:b/>
        </w:rPr>
      </w:pPr>
    </w:p>
    <w:p w:rsidR="002A5FE7" w:rsidRPr="002646EE" w:rsidRDefault="002A5FE7" w:rsidP="00CB2BBE">
      <w:pPr>
        <w:rPr>
          <w:rStyle w:val="NormalWebChar"/>
          <w:rFonts w:eastAsiaTheme="minorHAnsi"/>
          <w:b/>
        </w:rPr>
      </w:pPr>
    </w:p>
    <w:p w:rsidR="00CB2BBE" w:rsidRPr="002646EE" w:rsidRDefault="00CB2BBE" w:rsidP="002D6B34">
      <w:pPr>
        <w:pStyle w:val="Heading3"/>
        <w:rPr>
          <w:rStyle w:val="NormalWebChar"/>
          <w:rFonts w:eastAsiaTheme="minorHAnsi"/>
        </w:rPr>
      </w:pPr>
      <w:bookmarkStart w:id="37" w:name="_Toc171420563"/>
      <w:r w:rsidRPr="002646EE">
        <w:rPr>
          <w:rStyle w:val="NormalWebChar"/>
          <w:rFonts w:eastAsiaTheme="minorHAnsi"/>
        </w:rPr>
        <w:lastRenderedPageBreak/>
        <w:t>Venn diagram analysis</w:t>
      </w:r>
      <w:bookmarkEnd w:id="37"/>
    </w:p>
    <w:p w:rsidR="00CB2BBE" w:rsidRPr="002646EE" w:rsidRDefault="00CB2BBE" w:rsidP="00CB2BBE">
      <w:pPr>
        <w:spacing w:line="360" w:lineRule="auto"/>
        <w:rPr>
          <w:rStyle w:val="NormalWebChar"/>
          <w:rFonts w:eastAsiaTheme="minorHAnsi"/>
        </w:rPr>
      </w:pPr>
      <w:r w:rsidRPr="002646EE">
        <w:rPr>
          <w:rStyle w:val="NormalWebChar"/>
          <w:rFonts w:eastAsiaTheme="minorHAnsi"/>
        </w:rPr>
        <w:t>Here 23 diabetic associated genes targeted by NK and 16 diabetic associated genes was given as input the tool SR plot has analysed the given genes and represents below venn diagram depicting in the given set of genes 13 genes were targed by both NK and VA, other 10 genes targeted only by NK and 3 genes targeted by VA</w:t>
      </w:r>
    </w:p>
    <w:p w:rsidR="00CB2BBE" w:rsidRPr="002646EE" w:rsidRDefault="00CB2BBE" w:rsidP="00CB2BBE">
      <w:pPr>
        <w:spacing w:line="360" w:lineRule="auto"/>
        <w:rPr>
          <w:rStyle w:val="NormalWebChar"/>
          <w:rFonts w:eastAsiaTheme="minorHAnsi"/>
        </w:rPr>
      </w:pPr>
    </w:p>
    <w:p w:rsidR="00CB2BBE" w:rsidRPr="002646EE" w:rsidRDefault="00CB2BBE" w:rsidP="00CB2BBE">
      <w:pPr>
        <w:rPr>
          <w:rStyle w:val="NormalWebChar"/>
          <w:rFonts w:eastAsiaTheme="minorHAnsi"/>
        </w:rPr>
      </w:pPr>
      <w:r w:rsidRPr="002646EE">
        <w:rPr>
          <w:rFonts w:ascii="Times New Roman" w:eastAsia="ArialMT" w:hAnsi="Times New Roman" w:cs="Times New Roman"/>
          <w:noProof/>
          <w:color w:val="000000" w:themeColor="text1"/>
          <w:sz w:val="24"/>
          <w:szCs w:val="24"/>
          <w:lang w:eastAsia="en-IN"/>
        </w:rPr>
        <w:drawing>
          <wp:inline distT="0" distB="0" distL="0" distR="0" wp14:anchorId="721009FA" wp14:editId="6C5BADC9">
            <wp:extent cx="4696691" cy="981398"/>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6691" cy="981398"/>
                    </a:xfrm>
                    <a:prstGeom prst="rect">
                      <a:avLst/>
                    </a:prstGeom>
                  </pic:spPr>
                </pic:pic>
              </a:graphicData>
            </a:graphic>
          </wp:inline>
        </w:drawing>
      </w:r>
    </w:p>
    <w:p w:rsidR="001E6CC5" w:rsidRPr="002646EE" w:rsidRDefault="00CB2BBE" w:rsidP="00CB2BBE">
      <w:pPr>
        <w:rPr>
          <w:rStyle w:val="NormalWebChar"/>
          <w:rFonts w:eastAsiaTheme="minorHAnsi"/>
        </w:rPr>
      </w:pPr>
      <w:r w:rsidRPr="002646EE">
        <w:rPr>
          <w:rStyle w:val="NormalWebChar"/>
          <w:rFonts w:eastAsiaTheme="minorHAnsi"/>
        </w:rPr>
        <w:t xml:space="preserve">                                 </w:t>
      </w:r>
      <w:r w:rsidRPr="002646EE">
        <w:rPr>
          <w:rFonts w:ascii="Times New Roman" w:eastAsia="ArialMT" w:hAnsi="Times New Roman" w:cs="Times New Roman"/>
          <w:color w:val="000000" w:themeColor="text1"/>
          <w:sz w:val="24"/>
          <w:szCs w:val="24"/>
        </w:rPr>
        <w:t>Targeted by NK                          Targeted by V</w:t>
      </w:r>
      <w:r w:rsidR="001E6CC5" w:rsidRPr="002646EE">
        <w:rPr>
          <w:rStyle w:val="NormalWebChar"/>
          <w:rFonts w:eastAsiaTheme="minorHAnsi"/>
        </w:rPr>
        <w:t>A</w:t>
      </w:r>
    </w:p>
    <w:p w:rsidR="00CB2BBE" w:rsidRPr="002646EE" w:rsidRDefault="001E6CC5" w:rsidP="00CB2BBE">
      <w:pPr>
        <w:rPr>
          <w:rStyle w:val="NormalWebChar"/>
          <w:rFonts w:eastAsiaTheme="minorHAnsi"/>
        </w:rPr>
      </w:pPr>
      <w:r w:rsidRPr="002646EE">
        <w:rPr>
          <w:rStyle w:val="NormalWebChar"/>
          <w:rFonts w:eastAsiaTheme="minorHAnsi"/>
        </w:rPr>
        <w:t xml:space="preserve">                            </w:t>
      </w:r>
      <w:r w:rsidR="00CB2BBE" w:rsidRPr="002646EE">
        <w:rPr>
          <w:rStyle w:val="NormalWebChar"/>
          <w:rFonts w:eastAsiaTheme="minorHAnsi"/>
        </w:rPr>
        <w:t xml:space="preserve">  Diabetic associated genes targeted by NK and VA</w:t>
      </w:r>
    </w:p>
    <w:p w:rsidR="00CB2BBE" w:rsidRPr="002646EE" w:rsidRDefault="001E6CC5" w:rsidP="00CB2BBE">
      <w:pPr>
        <w:rPr>
          <w:rStyle w:val="NormalWebChar"/>
          <w:rFonts w:eastAsiaTheme="minorHAnsi"/>
        </w:rPr>
      </w:pPr>
      <w:r w:rsidRPr="002646EE">
        <w:rPr>
          <w:rFonts w:ascii="Times New Roman" w:hAnsi="Times New Roman" w:cs="Times New Roman"/>
          <w:noProof/>
          <w:sz w:val="24"/>
          <w:szCs w:val="24"/>
          <w:lang w:eastAsia="en-IN"/>
        </w:rPr>
        <mc:AlternateContent>
          <mc:Choice Requires="wps">
            <w:drawing>
              <wp:anchor distT="0" distB="0" distL="114300" distR="114300" simplePos="0" relativeHeight="251676672" behindDoc="0" locked="0" layoutInCell="1" allowOverlap="1" wp14:anchorId="1426DC80" wp14:editId="31E5E44E">
                <wp:simplePos x="0" y="0"/>
                <wp:positionH relativeFrom="column">
                  <wp:posOffset>2487930</wp:posOffset>
                </wp:positionH>
                <wp:positionV relativeFrom="paragraph">
                  <wp:posOffset>83820</wp:posOffset>
                </wp:positionV>
                <wp:extent cx="45085" cy="1451610"/>
                <wp:effectExtent l="38100" t="38100" r="50165" b="15240"/>
                <wp:wrapNone/>
                <wp:docPr id="57" name="Straight Arrow Connector 57"/>
                <wp:cNvGraphicFramePr/>
                <a:graphic xmlns:a="http://schemas.openxmlformats.org/drawingml/2006/main">
                  <a:graphicData uri="http://schemas.microsoft.com/office/word/2010/wordprocessingShape">
                    <wps:wsp>
                      <wps:cNvCnPr/>
                      <wps:spPr>
                        <a:xfrm flipV="1">
                          <a:off x="0" y="0"/>
                          <a:ext cx="45085" cy="1451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EB1E0BC" id="_x0000_t32" coordsize="21600,21600" o:spt="32" o:oned="t" path="m,l21600,21600e" filled="f">
                <v:path arrowok="t" fillok="f" o:connecttype="none"/>
                <o:lock v:ext="edit" shapetype="t"/>
              </v:shapetype>
              <v:shape id="Straight Arrow Connector 57" o:spid="_x0000_s1026" type="#_x0000_t32" style="position:absolute;margin-left:195.9pt;margin-top:6.6pt;width:3.55pt;height:114.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t09AEAAEMEAAAOAAAAZHJzL2Uyb0RvYy54bWysU02P0zAQvSPxHyzfaZLVdllVTVeoy3JB&#10;ULHA3euMG0v+0tg07b9n7KTp8iEkEBfLY897M+95vL47WsMOgFF71/JmUXMGTvpOu33Lv3x+eHXL&#10;WUzCdcJ4By0/QeR3m5cv1kNYwZXvvekAGZG4uBpCy/uUwqqqouzBirjwARxdKo9WJApxX3UoBmK3&#10;prqq65tq8NgF9BJipNP78ZJvCr9SINNHpSIkZlpOvaWyYlmf8lpt1mK1RxF6Lac2xD90YYV2VHSm&#10;uhdJsG+of6GyWqKPXqWF9LbySmkJRQOpaeqf1Dz2IkDRQubEMNsU/x+t/HDYIdNdy5evOXPC0hs9&#10;JhR63yf2BtEPbOudIx89Mkohv4YQVwTbuh1OUQw7zOKPCi1TRoevNArFDhLIjsXt0+w2HBOTdHi9&#10;rG+XnEm6aa6XzU1TXqMaaTJdwJjegbcsb1oep7bmfsYS4vA+JmqEgGdABhuX1+iN7h60MSXIQwVb&#10;g+wgaBzSsclyCPdDVhLavHUdS6dAXiTUwu0NTJmZtcoGjJLLLp0MjBU/gSIrSdrYWRniSz0hJbh0&#10;rmkcZWeYou5mYF1c+yNwys9QKAP+N+AZUSp7l2aw1c7j76pfbFJj/tmBUXe24Ml3pzIMxRqa1OLq&#10;9KvyV3geF/jl72++AwAA//8DAFBLAwQUAAYACAAAACEAxWSahuAAAAAKAQAADwAAAGRycy9kb3du&#10;cmV2LnhtbEyPy26DMBBF95X6D9ZE6q4xgaoFgon6ULKo1EVokbp0sMGoeIywSejfd7pql6Nzde+Z&#10;YrfYgZ315HuHAjbrCJjGxqkeOwEf7/vbFJgPEpUcHGoB39rDrry+KmSu3AWP+lyFjlEJ+lwKMCGM&#10;Oee+MdpKv3ajRmKtm6wMdE4dV5O8ULkdeBxF99zKHmnByFE/G918VbOlkde36qH93Cc4v6SHuq2f&#10;DqY+CnGzWh63wIJewl8YfvVJHUpyOrkZlWeDgCTbkHogkMTAKJBkaQbsJCC+I8LLgv9/ofwBAAD/&#10;/wMAUEsBAi0AFAAGAAgAAAAhALaDOJL+AAAA4QEAABMAAAAAAAAAAAAAAAAAAAAAAFtDb250ZW50&#10;X1R5cGVzXS54bWxQSwECLQAUAAYACAAAACEAOP0h/9YAAACUAQAACwAAAAAAAAAAAAAAAAAvAQAA&#10;X3JlbHMvLnJlbHNQSwECLQAUAAYACAAAACEAnIuLdPQBAABDBAAADgAAAAAAAAAAAAAAAAAuAgAA&#10;ZHJzL2Uyb0RvYy54bWxQSwECLQAUAAYACAAAACEAxWSahuAAAAAKAQAADwAAAAAAAAAAAAAAAABO&#10;BAAAZHJzL2Rvd25yZXYueG1sUEsFBgAAAAAEAAQA8wAAAFsFAAAAAA==&#10;" strokecolor="black [3213]" strokeweight=".5pt">
                <v:stroke endarrow="block" joinstyle="miter"/>
              </v:shape>
            </w:pict>
          </mc:Fallback>
        </mc:AlternateContent>
      </w:r>
    </w:p>
    <w:p w:rsidR="00CB2BBE" w:rsidRPr="002646EE" w:rsidRDefault="00CB2BBE" w:rsidP="00CB2BBE">
      <w:pPr>
        <w:rPr>
          <w:rStyle w:val="NormalWebChar"/>
          <w:rFonts w:eastAsiaTheme="minorHAnsi"/>
        </w:rPr>
      </w:pPr>
    </w:p>
    <w:p w:rsidR="00CB2BBE" w:rsidRPr="002646EE" w:rsidRDefault="001E6CC5" w:rsidP="00CB2BBE">
      <w:pPr>
        <w:rPr>
          <w:rStyle w:val="NormalWebChar"/>
          <w:rFonts w:eastAsiaTheme="minorHAnsi"/>
        </w:rPr>
      </w:pPr>
      <w:r w:rsidRPr="002646EE">
        <w:rPr>
          <w:rFonts w:ascii="Times New Roman" w:eastAsia="ArialMT" w:hAnsi="Times New Roman" w:cs="Times New Roman"/>
          <w:i/>
          <w:noProof/>
          <w:sz w:val="24"/>
          <w:szCs w:val="24"/>
          <w:lang w:eastAsia="en-IN"/>
        </w:rPr>
        <mc:AlternateContent>
          <mc:Choice Requires="wps">
            <w:drawing>
              <wp:anchor distT="0" distB="0" distL="114300" distR="114300" simplePos="0" relativeHeight="251674624" behindDoc="0" locked="0" layoutInCell="1" allowOverlap="1" wp14:anchorId="5B745AF4" wp14:editId="19D21B95">
                <wp:simplePos x="0" y="0"/>
                <wp:positionH relativeFrom="column">
                  <wp:posOffset>3666490</wp:posOffset>
                </wp:positionH>
                <wp:positionV relativeFrom="paragraph">
                  <wp:posOffset>1275080</wp:posOffset>
                </wp:positionV>
                <wp:extent cx="45085" cy="1705610"/>
                <wp:effectExtent l="38100" t="0" r="69215" b="66040"/>
                <wp:wrapNone/>
                <wp:docPr id="55" name="Straight Arrow Connector 55"/>
                <wp:cNvGraphicFramePr/>
                <a:graphic xmlns:a="http://schemas.openxmlformats.org/drawingml/2006/main">
                  <a:graphicData uri="http://schemas.microsoft.com/office/word/2010/wordprocessingShape">
                    <wps:wsp>
                      <wps:cNvCnPr/>
                      <wps:spPr>
                        <a:xfrm>
                          <a:off x="0" y="0"/>
                          <a:ext cx="45085" cy="1705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3DB113E" id="Straight Arrow Connector 55" o:spid="_x0000_s1026" type="#_x0000_t32" style="position:absolute;margin-left:288.7pt;margin-top:100.4pt;width:3.55pt;height:13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Cj7AEAADkEAAAOAAAAZHJzL2Uyb0RvYy54bWysU8GO0zAQvSPxD5bvNMmKLquq6Qp1WS4I&#10;KhY+wOvYjSXbY41N0/49YydNWUBIu+LiZOx58+Y9j9e3R2fZQWE04FveLGrOlJfQGb9v+fdv929u&#10;OItJ+E5Y8KrlJxX57eb1q/UQVuoKerCdQkZFfFwNoeV9SmFVVVH2yom4gKA8HWpAJxKFuK86FANV&#10;d7a6quvragDsAoJUMdLu3XjIN6W+1kqmL1pHlZhtOfWWyoplfcxrtVmL1R5F6I2c2hAv6MIJ44l0&#10;LnUnkmA/0PxRyhmJEEGnhQRXgdZGqqKB1DT1b2oeehFU0ULmxDDbFP9fWfn5sENmupYvl5x54eiO&#10;HhIKs+8Te48IA9uC9+QjIKMU8msIcUWwrd/hFMWwwyz+qNHlL8lix+LxafZYHROTtPl2Wd8Qk6ST&#10;5l29vG7KHVQXcMCYPipwLP+0PE7NzF00xWdx+BQT0RPwDMjM1uc1gjXdvbG2BHmU1NYiOwgagnRs&#10;sgjCPclKwtgPvmPpFMiBhEb4vVVTZq5aZdmj0PKXTlaNjF+VJgNJ2thZGd0Ln5BS+XTmtJ6yM0xT&#10;dzOwLpL+CZzyM1SVsX4OeEYUZvBpBjvjAf/GfrFJj/lnB0bd2YJH6E5lBIo1NJ/F1ekt5Qfwa1zg&#10;lxe/+QkAAP//AwBQSwMEFAAGAAgAAAAhAMBm/X/gAAAACwEAAA8AAABkcnMvZG93bnJldi54bWxM&#10;j91Kw0AQhe8F32EZwTu7qST9iZmUIhSKItTqA2ySMQnuT9zdtsnbO17Zy2E+zvlOsRmNFmfyoXcW&#10;YT5LQJCtXdPbFuHzY/ewAhGiso3SzhLCRAE25e1NofLGXew7nY+xFRxiQ64QuhiHXMpQd2RUmLmB&#10;LP++nDcq8ulb2Xh14XCj5WOSLKRRveWGTg303FH9fTwZhPV+aCt9eH2Z/yR+t+8P09u4nRDv78bt&#10;E4hIY/yH4U+f1aFkp8qdbBOERsiWy5RRBK7hDUxkqzQDUSGki3UKsizk9YbyFwAA//8DAFBLAQIt&#10;ABQABgAIAAAAIQC2gziS/gAAAOEBAAATAAAAAAAAAAAAAAAAAAAAAABbQ29udGVudF9UeXBlc10u&#10;eG1sUEsBAi0AFAAGAAgAAAAhADj9If/WAAAAlAEAAAsAAAAAAAAAAAAAAAAALwEAAF9yZWxzLy5y&#10;ZWxzUEsBAi0AFAAGAAgAAAAhAF/JUKPsAQAAOQQAAA4AAAAAAAAAAAAAAAAALgIAAGRycy9lMm9E&#10;b2MueG1sUEsBAi0AFAAGAAgAAAAhAMBm/X/gAAAACwEAAA8AAAAAAAAAAAAAAAAARgQAAGRycy9k&#10;b3ducmV2LnhtbFBLBQYAAAAABAAEAPMAAABTBQAAAAA=&#10;" strokecolor="black [3213]" strokeweight=".5pt">
                <v:stroke endarrow="block" joinstyle="miter"/>
              </v:shape>
            </w:pict>
          </mc:Fallback>
        </mc:AlternateContent>
      </w:r>
      <w:r w:rsidRPr="002646EE">
        <w:rPr>
          <w:rFonts w:ascii="Times New Roman" w:eastAsia="ArialMT" w:hAnsi="Times New Roman" w:cs="Times New Roman"/>
          <w:i/>
          <w:noProof/>
          <w:sz w:val="24"/>
          <w:szCs w:val="24"/>
          <w:lang w:eastAsia="en-IN"/>
        </w:rPr>
        <mc:AlternateContent>
          <mc:Choice Requires="wps">
            <w:drawing>
              <wp:anchor distT="0" distB="0" distL="114300" distR="114300" simplePos="0" relativeHeight="251673600" behindDoc="0" locked="0" layoutInCell="1" allowOverlap="1" wp14:anchorId="2C78EDE9" wp14:editId="364BC1C3">
                <wp:simplePos x="0" y="0"/>
                <wp:positionH relativeFrom="column">
                  <wp:posOffset>1141730</wp:posOffset>
                </wp:positionH>
                <wp:positionV relativeFrom="paragraph">
                  <wp:posOffset>1275080</wp:posOffset>
                </wp:positionV>
                <wp:extent cx="45085" cy="1705610"/>
                <wp:effectExtent l="76200" t="0" r="50165" b="66040"/>
                <wp:wrapNone/>
                <wp:docPr id="51" name="Straight Arrow Connector 51"/>
                <wp:cNvGraphicFramePr/>
                <a:graphic xmlns:a="http://schemas.openxmlformats.org/drawingml/2006/main">
                  <a:graphicData uri="http://schemas.microsoft.com/office/word/2010/wordprocessingShape">
                    <wps:wsp>
                      <wps:cNvCnPr/>
                      <wps:spPr>
                        <a:xfrm flipH="1">
                          <a:off x="0" y="0"/>
                          <a:ext cx="45085" cy="1705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399EC4" id="Straight Arrow Connector 51" o:spid="_x0000_s1026" type="#_x0000_t32" style="position:absolute;margin-left:89.9pt;margin-top:100.4pt;width:3.55pt;height:13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BS9QEAAEMEAAAOAAAAZHJzL2Uyb0RvYy54bWysU9uO0zAQfUfiHyy/0yQruqyqpivUZeEB&#10;QcWyH+B1xo0l3zQ2TfP3jJ025bJCAvFieew5Z+Ycj9e3R2vYATBq71reLGrOwEnfabdv+ePX+1c3&#10;nMUkXCeMd9DyESK/3bx8sR7CCq58700HyIjExdUQWt6nFFZVFWUPVsSFD+DoUnm0IlGI+6pDMRC7&#10;NdVVXV9Xg8cuoJcQI53eTZd8U/iVApk+KxUhMdNy6i2VFcv6lNdqsxarPYrQa3lqQ/xDF1ZoR0Vn&#10;qjuRBPuG+jcqqyX66FVaSG8rr5SWUDSQmqb+Rc1DLwIULWRODLNN8f/Ryk+HHTLdtXzZcOaEpTd6&#10;SCj0vk/sLaIf2NY7Rz56ZJRCfg0hrgi2dTs8RTHsMIs/KrRMGR0+0CgUO0ggOxa3x9ltOCYm6fD1&#10;sr5ZcibppnlTL6+b8hrVRJPpAsb0HrxledPyeGpr7mcqIQ4fY6JGCHgGZLBxeY3e6O5eG1OCPFSw&#10;NcgOgsYhHYscwv2UlYQ271zH0hjIi4RauL2BLJwyM2uVDZgkl10aDUwVv4AiK0na1FkZ4ks9ISW4&#10;dK5pHGVnmKLuZmBdXPsj8JSfoVAG/G/AM6JU9i7NYKudx+eqX2xSU/7ZgUl3tuDJd2MZhmINTWrx&#10;6vSr8lf4MS7wy9/ffAcAAP//AwBQSwMEFAAGAAgAAAAhAC98dzbgAAAACwEAAA8AAABkcnMvZG93&#10;bnJldi54bWxMj81ugzAQhO+V+g7WVuqtMWkjAgQT9UfJoVIOoUXq0cEGo+I1wiahb9/Nqb3taEcz&#10;3+Tb2fbsrEffORSwXETANNZOddgK+PzYPSTAfJCoZO9QC/jRHrbF7U0uM+UueNTnMrSMQtBnUoAJ&#10;Ycg497XRVvqFGzTSr3GjlYHk2HI1yguF254/RlHMreyQGowc9KvR9Xc5WSp5P5Tr5mv3hNNbsq+a&#10;6mVvqqMQ93fz8wZY0HP4M8MVn9ChIKaTm1B51pNep4QeBFANHVdHEqfATgJWcboCXuT8/4biFwAA&#10;//8DAFBLAQItABQABgAIAAAAIQC2gziS/gAAAOEBAAATAAAAAAAAAAAAAAAAAAAAAABbQ29udGVu&#10;dF9UeXBlc10ueG1sUEsBAi0AFAAGAAgAAAAhADj9If/WAAAAlAEAAAsAAAAAAAAAAAAAAAAALwEA&#10;AF9yZWxzLy5yZWxzUEsBAi0AFAAGAAgAAAAhALs9oFL1AQAAQwQAAA4AAAAAAAAAAAAAAAAALgIA&#10;AGRycy9lMm9Eb2MueG1sUEsBAi0AFAAGAAgAAAAhAC98dzbgAAAACwEAAA8AAAAAAAAAAAAAAAAA&#10;TwQAAGRycy9kb3ducmV2LnhtbFBLBQYAAAAABAAEAPMAAABcBQAAAAA=&#10;" strokecolor="black [3213]" strokeweight=".5pt">
                <v:stroke endarrow="block" joinstyle="miter"/>
              </v:shape>
            </w:pict>
          </mc:Fallback>
        </mc:AlternateContent>
      </w:r>
      <w:r w:rsidR="00CB2BBE" w:rsidRPr="002646EE">
        <w:rPr>
          <w:rFonts w:ascii="Times New Roman" w:eastAsia="ArialMT" w:hAnsi="Times New Roman" w:cs="Times New Roman"/>
          <w:i/>
          <w:noProof/>
          <w:sz w:val="24"/>
          <w:szCs w:val="24"/>
          <w:lang w:eastAsia="en-IN"/>
        </w:rPr>
        <mc:AlternateContent>
          <mc:Choice Requires="wpc">
            <w:drawing>
              <wp:anchor distT="0" distB="0" distL="114300" distR="114300" simplePos="0" relativeHeight="251675648" behindDoc="1" locked="0" layoutInCell="1" allowOverlap="1" wp14:anchorId="13551F93" wp14:editId="43A8F3B0">
                <wp:simplePos x="0" y="0"/>
                <wp:positionH relativeFrom="column">
                  <wp:posOffset>0</wp:posOffset>
                </wp:positionH>
                <wp:positionV relativeFrom="paragraph">
                  <wp:posOffset>-4089400</wp:posOffset>
                </wp:positionV>
                <wp:extent cx="5486400" cy="3200400"/>
                <wp:effectExtent l="0" t="0" r="0" b="0"/>
                <wp:wrapNone/>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5E6DCC" id="Canvas 56" o:spid="_x0000_s1026" editas="canvas" style="position:absolute;margin-left:0;margin-top:-322pt;width:6in;height:252pt;z-index:-251640832"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06Mp73wAAAAoBAAAPAAAAZHJzL2Rvd25yZXYueG1sTI9PS8QwEMXv&#10;gt8hjOBFdpNqLaU2XUQQRPDgrsIe02ZsqvlTmnS3fntnT+7tzbzhze/Vm8VZdsApDsFLyNYCGPou&#10;6MH3Ej52z6sSWEzKa2WDRwm/GGHTXF7UqtLh6N/xsE09oxAfKyXBpDRWnMfOoFNxHUb05H2FyalE&#10;49RzPakjhTvLb4UouFODpw9GjfhksPvZzk7Ca1fcfGftvHfl26e5u7f7l7TLpby+Wh4fgCVc0v8x&#10;nPAJHRpiasPsdWRWAhVJElZFnpMivyxOoqVVlgsBvKn5eYXmDwAA//8DAFBLAQItABQABgAIAAAA&#10;IQC2gziS/gAAAOEBAAATAAAAAAAAAAAAAAAAAAAAAABbQ29udGVudF9UeXBlc10ueG1sUEsBAi0A&#10;FAAGAAgAAAAhADj9If/WAAAAlAEAAAsAAAAAAAAAAAAAAAAALwEAAF9yZWxzLy5yZWxzUEsBAi0A&#10;FAAGAAgAAAAhAO31zvwAAQAACAIAAA4AAAAAAAAAAAAAAAAALgIAAGRycy9lMm9Eb2MueG1sUEsB&#10;Ai0AFAAGAAgAAAAhAPToynvfAAAACgEAAA8AAAAAAAAAAAAAAAAAWgMAAGRycy9kb3ducmV2Lnht&#10;bFBLBQYAAAAABAAEAPMAAABm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group>
            </w:pict>
          </mc:Fallback>
        </mc:AlternateContent>
      </w:r>
      <w:r w:rsidR="00CB2BBE" w:rsidRPr="002646EE">
        <w:rPr>
          <w:rFonts w:ascii="Times New Roman" w:eastAsia="ArialMT" w:hAnsi="Times New Roman" w:cs="Times New Roman"/>
          <w:i/>
          <w:noProof/>
          <w:sz w:val="24"/>
          <w:szCs w:val="24"/>
          <w:lang w:eastAsia="en-IN"/>
        </w:rPr>
        <w:drawing>
          <wp:inline distT="0" distB="0" distL="0" distR="0" wp14:anchorId="43998400" wp14:editId="7369BE67">
            <wp:extent cx="4939645" cy="2721452"/>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1615" cy="2722537"/>
                    </a:xfrm>
                    <a:prstGeom prst="rect">
                      <a:avLst/>
                    </a:prstGeom>
                  </pic:spPr>
                </pic:pic>
              </a:graphicData>
            </a:graphic>
          </wp:inline>
        </w:drawing>
      </w:r>
    </w:p>
    <w:p w:rsidR="00CB2BBE" w:rsidRPr="002646EE" w:rsidRDefault="00CB2BBE" w:rsidP="00CB2BBE">
      <w:pPr>
        <w:rPr>
          <w:rStyle w:val="NormalWebChar"/>
          <w:rFonts w:eastAsiaTheme="minorHAnsi"/>
        </w:rPr>
      </w:pPr>
    </w:p>
    <w:p w:rsidR="00CB2BBE" w:rsidRPr="002646EE" w:rsidRDefault="00CB2BBE" w:rsidP="00CB2BBE">
      <w:pPr>
        <w:rPr>
          <w:rStyle w:val="NormalWebChar"/>
          <w:rFonts w:eastAsiaTheme="minorHAnsi"/>
        </w:rPr>
      </w:pPr>
      <w:r w:rsidRPr="002646EE">
        <w:rPr>
          <w:rStyle w:val="NormalWebChar"/>
          <w:rFonts w:eastAsiaTheme="minorHAnsi"/>
        </w:rPr>
        <w:t xml:space="preserve">Diabetic associated genes exclusively                             Diabetic associated genes exclusively                      </w:t>
      </w:r>
    </w:p>
    <w:p w:rsidR="00CB2BBE" w:rsidRPr="002646EE" w:rsidRDefault="00CB2BBE" w:rsidP="00CB2BBE">
      <w:pPr>
        <w:rPr>
          <w:rStyle w:val="NormalWebChar"/>
          <w:rFonts w:eastAsiaTheme="minorHAnsi"/>
        </w:rPr>
      </w:pPr>
      <w:r w:rsidRPr="002646EE">
        <w:rPr>
          <w:rStyle w:val="NormalWebChar"/>
          <w:rFonts w:eastAsiaTheme="minorHAnsi"/>
        </w:rPr>
        <w:t xml:space="preserve"> trageted by NK                                                                  targeted by VA</w:t>
      </w:r>
    </w:p>
    <w:p w:rsidR="001E6CC5" w:rsidRPr="002646EE" w:rsidRDefault="00CB2BBE" w:rsidP="00CB2BBE">
      <w:pPr>
        <w:rPr>
          <w:rFonts w:ascii="Times New Roman" w:eastAsia="ArialMT" w:hAnsi="Times New Roman" w:cs="Times New Roman"/>
          <w:b/>
          <w:sz w:val="24"/>
          <w:szCs w:val="24"/>
          <w:lang w:val="en-US"/>
        </w:rPr>
      </w:pPr>
      <w:r w:rsidRPr="002646EE">
        <w:rPr>
          <w:rFonts w:ascii="Times New Roman" w:eastAsia="ArialMT" w:hAnsi="Times New Roman" w:cs="Times New Roman"/>
          <w:b/>
          <w:sz w:val="24"/>
          <w:szCs w:val="24"/>
          <w:lang w:val="en-US"/>
        </w:rPr>
        <w:t xml:space="preserve"> </w:t>
      </w:r>
    </w:p>
    <w:p w:rsidR="00F5627F" w:rsidRPr="002646EE" w:rsidRDefault="001E6CC5" w:rsidP="001E6CC5">
      <w:pPr>
        <w:jc w:val="both"/>
        <w:rPr>
          <w:rStyle w:val="NormalWebChar"/>
          <w:rFonts w:eastAsia="ArialMT"/>
          <w:b/>
        </w:rPr>
        <w:sectPr w:rsidR="00F5627F" w:rsidRPr="002646EE" w:rsidSect="004E54C7">
          <w:pgSz w:w="11906" w:h="16838"/>
          <w:pgMar w:top="1440" w:right="1440" w:bottom="1440" w:left="1440" w:header="708" w:footer="708" w:gutter="0"/>
          <w:cols w:space="708"/>
          <w:docGrid w:linePitch="360"/>
        </w:sectPr>
      </w:pPr>
      <w:r w:rsidRPr="002646EE">
        <w:rPr>
          <w:rFonts w:ascii="Times New Roman" w:eastAsia="ArialMT" w:hAnsi="Times New Roman" w:cs="Times New Roman"/>
          <w:b/>
          <w:bCs/>
          <w:sz w:val="24"/>
          <w:szCs w:val="24"/>
          <w:lang w:val="en-US"/>
        </w:rPr>
        <w:t xml:space="preserve">FIGURE 5. </w:t>
      </w:r>
      <w:r w:rsidRPr="002646EE">
        <w:rPr>
          <w:rStyle w:val="NormalWebChar"/>
          <w:rFonts w:eastAsia="ArialMT"/>
          <w:b/>
        </w:rPr>
        <w:t>Venn diagram representing how overlaped and unique genes were found out. From 23 and 16 diabe</w:t>
      </w:r>
      <w:r w:rsidR="006F52E0" w:rsidRPr="002646EE">
        <w:rPr>
          <w:rStyle w:val="NormalWebChar"/>
          <w:rFonts w:eastAsia="ArialMT"/>
          <w:b/>
        </w:rPr>
        <w:t>tic associa</w:t>
      </w:r>
      <w:r w:rsidR="00B863B5" w:rsidRPr="002646EE">
        <w:rPr>
          <w:rStyle w:val="NormalWebChar"/>
          <w:rFonts w:eastAsia="ArialMT"/>
          <w:b/>
        </w:rPr>
        <w:t>ted genes targeted by NK and   VA</w:t>
      </w:r>
    </w:p>
    <w:p w:rsidR="00CB2BBE" w:rsidRPr="002646EE" w:rsidRDefault="002D6B34" w:rsidP="002D6B34">
      <w:pPr>
        <w:pStyle w:val="Heading3"/>
        <w:rPr>
          <w:rStyle w:val="NormalWebChar"/>
          <w:rFonts w:eastAsiaTheme="minorHAnsi"/>
          <w:szCs w:val="26"/>
          <w:lang w:val="en-US" w:eastAsia="en-US"/>
        </w:rPr>
      </w:pPr>
      <w:r w:rsidRPr="002646EE">
        <w:rPr>
          <w:rFonts w:ascii="Times New Roman" w:hAnsi="Times New Roman" w:cs="Times New Roman"/>
          <w:lang w:val="en-US"/>
        </w:rPr>
        <w:lastRenderedPageBreak/>
        <w:t xml:space="preserve">                                                </w:t>
      </w:r>
      <w:bookmarkStart w:id="38" w:name="_Toc171420564"/>
      <w:r w:rsidR="00CB2BBE" w:rsidRPr="002646EE">
        <w:rPr>
          <w:rFonts w:ascii="Times New Roman" w:hAnsi="Times New Roman" w:cs="Times New Roman"/>
          <w:lang w:val="en-US"/>
        </w:rPr>
        <w:t>P</w:t>
      </w:r>
      <w:r w:rsidR="00CB2BBE" w:rsidRPr="002646EE">
        <w:rPr>
          <w:rFonts w:ascii="Times New Roman" w:hAnsi="Times New Roman" w:cs="Times New Roman"/>
        </w:rPr>
        <w:t>hytochemicals of NK and VA targeting 13 common diabetic associated genes.</w:t>
      </w:r>
      <w:bookmarkEnd w:id="38"/>
    </w:p>
    <w:p w:rsidR="008223EE" w:rsidRDefault="008223EE" w:rsidP="002D6B34">
      <w:pPr>
        <w:rPr>
          <w:rFonts w:ascii="Times New Roman" w:hAnsi="Times New Roman" w:cs="Times New Roman"/>
          <w:lang w:val="en-US"/>
        </w:rPr>
      </w:pPr>
    </w:p>
    <w:p w:rsidR="008223EE" w:rsidRDefault="008223EE" w:rsidP="002D6B34">
      <w:pPr>
        <w:rPr>
          <w:rFonts w:ascii="Times New Roman" w:hAnsi="Times New Roman" w:cs="Times New Roman"/>
          <w:lang w:val="en-US"/>
        </w:rPr>
      </w:pPr>
      <w:r w:rsidRPr="008223EE">
        <w:drawing>
          <wp:anchor distT="0" distB="0" distL="114300" distR="114300" simplePos="0" relativeHeight="251680768" behindDoc="0" locked="0" layoutInCell="1" allowOverlap="1">
            <wp:simplePos x="0" y="0"/>
            <wp:positionH relativeFrom="column">
              <wp:posOffset>-547370</wp:posOffset>
            </wp:positionH>
            <wp:positionV relativeFrom="paragraph">
              <wp:posOffset>325120</wp:posOffset>
            </wp:positionV>
            <wp:extent cx="9789795" cy="4184015"/>
            <wp:effectExtent l="0" t="0" r="190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89795" cy="418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3EE" w:rsidRDefault="008223EE" w:rsidP="002D6B34">
      <w:pPr>
        <w:rPr>
          <w:rFonts w:ascii="Times New Roman" w:hAnsi="Times New Roman" w:cs="Times New Roman"/>
          <w:lang w:val="en-US"/>
        </w:rPr>
      </w:pPr>
    </w:p>
    <w:p w:rsidR="008223EE" w:rsidRDefault="008223EE" w:rsidP="002D6B34">
      <w:pPr>
        <w:rPr>
          <w:rFonts w:ascii="Times New Roman" w:hAnsi="Times New Roman" w:cs="Times New Roman"/>
          <w:lang w:val="en-US"/>
        </w:rPr>
      </w:pPr>
    </w:p>
    <w:p w:rsidR="008223EE" w:rsidRDefault="008223EE" w:rsidP="002D6B34">
      <w:pPr>
        <w:rPr>
          <w:rFonts w:ascii="Times New Roman" w:hAnsi="Times New Roman" w:cs="Times New Roman"/>
          <w:lang w:val="en-US"/>
        </w:rPr>
      </w:pPr>
    </w:p>
    <w:p w:rsidR="008223EE" w:rsidRDefault="008223EE" w:rsidP="002D6B34">
      <w:pPr>
        <w:rPr>
          <w:rFonts w:ascii="Times New Roman" w:hAnsi="Times New Roman" w:cs="Times New Roman"/>
          <w:lang w:val="en-US"/>
        </w:rPr>
      </w:pPr>
      <w:r w:rsidRPr="008223EE">
        <w:lastRenderedPageBreak/>
        <w:drawing>
          <wp:anchor distT="0" distB="0" distL="114300" distR="114300" simplePos="0" relativeHeight="251681792" behindDoc="1" locked="0" layoutInCell="1" allowOverlap="1">
            <wp:simplePos x="0" y="0"/>
            <wp:positionH relativeFrom="column">
              <wp:posOffset>-527050</wp:posOffset>
            </wp:positionH>
            <wp:positionV relativeFrom="paragraph">
              <wp:posOffset>0</wp:posOffset>
            </wp:positionV>
            <wp:extent cx="9983629" cy="428400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3629" cy="42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2BBE" w:rsidRPr="002646EE" w:rsidRDefault="006F52E0" w:rsidP="00990DAD">
      <w:pPr>
        <w:autoSpaceDE w:val="0"/>
        <w:autoSpaceDN w:val="0"/>
        <w:adjustRightInd w:val="0"/>
        <w:spacing w:after="0" w:line="360" w:lineRule="auto"/>
        <w:jc w:val="both"/>
        <w:rPr>
          <w:rFonts w:ascii="Times New Roman" w:eastAsia="ArialMT" w:hAnsi="Times New Roman" w:cs="Times New Roman"/>
          <w:sz w:val="24"/>
          <w:szCs w:val="24"/>
        </w:rPr>
      </w:pPr>
      <w:r w:rsidRPr="002646EE">
        <w:rPr>
          <w:rStyle w:val="Strong"/>
          <w:rFonts w:ascii="Times New Roman" w:hAnsi="Times New Roman" w:cs="Times New Roman"/>
          <w:sz w:val="24"/>
          <w:szCs w:val="24"/>
        </w:rPr>
        <w:t xml:space="preserve">TABLE 5. </w:t>
      </w:r>
      <w:r w:rsidR="00CB2BBE" w:rsidRPr="002646EE">
        <w:rPr>
          <w:rStyle w:val="NormalWebChar"/>
          <w:rFonts w:eastAsiaTheme="minorHAnsi"/>
        </w:rPr>
        <w:t xml:space="preserve"> </w:t>
      </w:r>
      <w:r w:rsidR="00990DAD" w:rsidRPr="002646EE">
        <w:rPr>
          <w:rFonts w:ascii="Times New Roman" w:eastAsia="ArialMT" w:hAnsi="Times New Roman" w:cs="Times New Roman"/>
          <w:sz w:val="24"/>
          <w:szCs w:val="24"/>
        </w:rPr>
        <w:t xml:space="preserve">Among 13 overlapping genes 9 </w:t>
      </w:r>
      <w:r w:rsidR="00F435B8" w:rsidRPr="002646EE">
        <w:rPr>
          <w:rFonts w:ascii="Times New Roman" w:eastAsia="ArialMT" w:hAnsi="Times New Roman" w:cs="Times New Roman"/>
          <w:sz w:val="24"/>
          <w:szCs w:val="24"/>
        </w:rPr>
        <w:t>overlapping ge</w:t>
      </w:r>
      <w:r w:rsidR="00990DAD" w:rsidRPr="002646EE">
        <w:rPr>
          <w:rFonts w:ascii="Times New Roman" w:eastAsia="ArialMT" w:hAnsi="Times New Roman" w:cs="Times New Roman"/>
          <w:sz w:val="24"/>
          <w:szCs w:val="24"/>
        </w:rPr>
        <w:t>nes (MMP2, TNF, SOD2, APOE,ALB,VEGFA,AKR1B1,RELA,MMP9 ) is being targeted similar phytochemicals of bo</w:t>
      </w:r>
      <w:r w:rsidR="00B654A7">
        <w:rPr>
          <w:rFonts w:ascii="Times New Roman" w:eastAsia="ArialMT" w:hAnsi="Times New Roman" w:cs="Times New Roman"/>
          <w:sz w:val="24"/>
          <w:szCs w:val="24"/>
        </w:rPr>
        <w:t xml:space="preserve">th </w:t>
      </w:r>
      <w:r w:rsidR="00990DAD" w:rsidRPr="002646EE">
        <w:rPr>
          <w:rFonts w:ascii="Times New Roman" w:eastAsia="ArialMT" w:hAnsi="Times New Roman" w:cs="Times New Roman"/>
          <w:sz w:val="24"/>
          <w:szCs w:val="24"/>
        </w:rPr>
        <w:t xml:space="preserve"> NK and VA formulation.</w:t>
      </w:r>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rPr>
      </w:pPr>
    </w:p>
    <w:p w:rsidR="00EB1B27" w:rsidRPr="002646EE" w:rsidRDefault="00EB1B27" w:rsidP="00D2094E">
      <w:pPr>
        <w:pStyle w:val="Heading3"/>
        <w:rPr>
          <w:rFonts w:ascii="Times New Roman" w:hAnsi="Times New Roman" w:cs="Times New Roman"/>
          <w:lang w:val="en-US"/>
        </w:rPr>
      </w:pPr>
    </w:p>
    <w:p w:rsidR="00CB2BBE" w:rsidRPr="002646EE" w:rsidRDefault="002D6B34" w:rsidP="00D2094E">
      <w:pPr>
        <w:pStyle w:val="Heading3"/>
        <w:rPr>
          <w:rStyle w:val="NormalWebChar"/>
          <w:rFonts w:eastAsiaTheme="minorHAnsi"/>
        </w:rPr>
      </w:pPr>
      <w:r w:rsidRPr="002646EE">
        <w:rPr>
          <w:rFonts w:ascii="Times New Roman" w:hAnsi="Times New Roman" w:cs="Times New Roman"/>
          <w:lang w:val="en-US"/>
        </w:rPr>
        <w:t xml:space="preserve">                                                           </w:t>
      </w:r>
      <w:bookmarkStart w:id="39" w:name="_Toc171420565"/>
      <w:r w:rsidR="00CB2BBE" w:rsidRPr="002646EE">
        <w:rPr>
          <w:rFonts w:ascii="Times New Roman" w:hAnsi="Times New Roman" w:cs="Times New Roman"/>
          <w:lang w:val="en-US"/>
        </w:rPr>
        <w:t>P</w:t>
      </w:r>
      <w:r w:rsidR="00CB2BBE" w:rsidRPr="002646EE">
        <w:rPr>
          <w:rFonts w:ascii="Times New Roman" w:hAnsi="Times New Roman" w:cs="Times New Roman"/>
        </w:rPr>
        <w:t>hytochemicals of NK targeting 10 diabetic associated genes</w:t>
      </w:r>
      <w:bookmarkEnd w:id="39"/>
    </w:p>
    <w:p w:rsidR="00CB2BBE" w:rsidRPr="002646EE" w:rsidRDefault="008223EE" w:rsidP="00CB2BBE">
      <w:pPr>
        <w:autoSpaceDE w:val="0"/>
        <w:autoSpaceDN w:val="0"/>
        <w:adjustRightInd w:val="0"/>
        <w:spacing w:after="0" w:line="240" w:lineRule="auto"/>
        <w:rPr>
          <w:rFonts w:ascii="Times New Roman" w:eastAsia="ArialMT" w:hAnsi="Times New Roman" w:cs="Times New Roman"/>
          <w:sz w:val="24"/>
          <w:szCs w:val="24"/>
          <w:u w:val="single"/>
        </w:rPr>
      </w:pPr>
      <w:r w:rsidRPr="008223EE">
        <w:drawing>
          <wp:anchor distT="0" distB="0" distL="114300" distR="114300" simplePos="0" relativeHeight="251682816" behindDoc="0" locked="0" layoutInCell="1" allowOverlap="1">
            <wp:simplePos x="0" y="0"/>
            <wp:positionH relativeFrom="column">
              <wp:posOffset>-724535</wp:posOffset>
            </wp:positionH>
            <wp:positionV relativeFrom="paragraph">
              <wp:posOffset>149860</wp:posOffset>
            </wp:positionV>
            <wp:extent cx="10361295" cy="3347720"/>
            <wp:effectExtent l="0" t="0" r="1905"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61295"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0DAD" w:rsidRPr="002646EE" w:rsidRDefault="00990DAD" w:rsidP="00990DAD">
      <w:pPr>
        <w:autoSpaceDE w:val="0"/>
        <w:autoSpaceDN w:val="0"/>
        <w:adjustRightInd w:val="0"/>
        <w:spacing w:after="0" w:line="360" w:lineRule="auto"/>
        <w:jc w:val="both"/>
        <w:rPr>
          <w:rFonts w:ascii="Times New Roman" w:hAnsi="Times New Roman" w:cs="Times New Roman"/>
          <w:sz w:val="24"/>
          <w:szCs w:val="24"/>
          <w:u w:val="single"/>
        </w:rPr>
      </w:pPr>
    </w:p>
    <w:p w:rsidR="00990DAD" w:rsidRPr="002646EE" w:rsidRDefault="006F52E0" w:rsidP="00990DAD">
      <w:pPr>
        <w:autoSpaceDE w:val="0"/>
        <w:autoSpaceDN w:val="0"/>
        <w:adjustRightInd w:val="0"/>
        <w:spacing w:after="0" w:line="360" w:lineRule="auto"/>
        <w:jc w:val="both"/>
        <w:rPr>
          <w:rFonts w:ascii="Times New Roman" w:eastAsia="ArialMT" w:hAnsi="Times New Roman" w:cs="Times New Roman"/>
          <w:sz w:val="24"/>
          <w:szCs w:val="24"/>
        </w:rPr>
      </w:pPr>
      <w:r w:rsidRPr="002646EE">
        <w:rPr>
          <w:rStyle w:val="NormalWebChar"/>
          <w:rFonts w:eastAsia="ArialMT"/>
          <w:b/>
          <w:bCs/>
        </w:rPr>
        <w:t xml:space="preserve">TABLE 6. </w:t>
      </w:r>
      <w:r w:rsidR="00990DAD" w:rsidRPr="002646EE">
        <w:rPr>
          <w:rStyle w:val="NormalWebChar"/>
          <w:rFonts w:eastAsiaTheme="minorHAnsi"/>
        </w:rPr>
        <w:t xml:space="preserve"> </w:t>
      </w:r>
      <w:r w:rsidR="00990DAD" w:rsidRPr="002646EE">
        <w:rPr>
          <w:rFonts w:ascii="Times New Roman" w:eastAsia="ArialMT" w:hAnsi="Times New Roman" w:cs="Times New Roman"/>
          <w:sz w:val="24"/>
          <w:szCs w:val="24"/>
        </w:rPr>
        <w:t>Among 10 genes 4 genes (ADH1B,GSTM1,PTGS2,ATM) is being targeted unique (in terms of comparing the comprised data) phytochemicals  NK formulation.</w:t>
      </w:r>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Style w:val="NormalWebChar"/>
          <w:rFonts w:eastAsiaTheme="minorHAnsi"/>
        </w:rPr>
        <w:t xml:space="preserve"> </w:t>
      </w:r>
    </w:p>
    <w:p w:rsidR="00CB2BBE" w:rsidRPr="002646EE" w:rsidRDefault="00CB2BBE" w:rsidP="00D2094E">
      <w:pPr>
        <w:pStyle w:val="Heading3"/>
        <w:rPr>
          <w:rFonts w:ascii="Times New Roman" w:hAnsi="Times New Roman" w:cs="Times New Roman"/>
          <w:lang w:val="en-US"/>
        </w:rPr>
      </w:pPr>
    </w:p>
    <w:p w:rsidR="00CB2BBE" w:rsidRDefault="002D6B34" w:rsidP="00D2094E">
      <w:pPr>
        <w:pStyle w:val="Heading3"/>
        <w:rPr>
          <w:rFonts w:ascii="Times New Roman" w:hAnsi="Times New Roman" w:cs="Times New Roman"/>
          <w:u w:val="single"/>
        </w:rPr>
      </w:pPr>
      <w:r w:rsidRPr="002646EE">
        <w:rPr>
          <w:rFonts w:ascii="Times New Roman" w:hAnsi="Times New Roman" w:cs="Times New Roman"/>
          <w:lang w:val="en-US"/>
        </w:rPr>
        <w:t xml:space="preserve">                                                                     </w:t>
      </w:r>
      <w:bookmarkStart w:id="40" w:name="_Toc171420566"/>
      <w:r w:rsidR="00CB2BBE" w:rsidRPr="002646EE">
        <w:rPr>
          <w:rFonts w:ascii="Times New Roman" w:hAnsi="Times New Roman" w:cs="Times New Roman"/>
          <w:u w:val="single"/>
          <w:lang w:val="en-US"/>
        </w:rPr>
        <w:t>P</w:t>
      </w:r>
      <w:r w:rsidR="00CB2BBE" w:rsidRPr="002646EE">
        <w:rPr>
          <w:rFonts w:ascii="Times New Roman" w:hAnsi="Times New Roman" w:cs="Times New Roman"/>
          <w:u w:val="single"/>
        </w:rPr>
        <w:t>hytochemicals of VA targeting 3 diabetic associated genes</w:t>
      </w:r>
      <w:bookmarkEnd w:id="40"/>
    </w:p>
    <w:p w:rsidR="006E0E0F" w:rsidRPr="006E0E0F" w:rsidRDefault="006E0E0F" w:rsidP="006E0E0F">
      <w:r w:rsidRPr="006E0E0F">
        <w:drawing>
          <wp:anchor distT="0" distB="0" distL="114300" distR="114300" simplePos="0" relativeHeight="251683840" behindDoc="0" locked="0" layoutInCell="1" allowOverlap="1">
            <wp:simplePos x="0" y="0"/>
            <wp:positionH relativeFrom="column">
              <wp:posOffset>-416560</wp:posOffset>
            </wp:positionH>
            <wp:positionV relativeFrom="paragraph">
              <wp:posOffset>121920</wp:posOffset>
            </wp:positionV>
            <wp:extent cx="9647555" cy="154051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4755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rPr>
      </w:pPr>
    </w:p>
    <w:p w:rsidR="00702071" w:rsidRPr="002646EE" w:rsidRDefault="006F52E0" w:rsidP="00B863B5">
      <w:pPr>
        <w:autoSpaceDE w:val="0"/>
        <w:autoSpaceDN w:val="0"/>
        <w:adjustRightInd w:val="0"/>
        <w:spacing w:after="0" w:line="360" w:lineRule="auto"/>
        <w:jc w:val="both"/>
        <w:rPr>
          <w:rStyle w:val="NormalWebChar"/>
          <w:rFonts w:eastAsia="ArialMT"/>
        </w:rPr>
      </w:pPr>
      <w:r w:rsidRPr="002646EE">
        <w:rPr>
          <w:rStyle w:val="NormalWebChar"/>
          <w:rFonts w:eastAsia="ArialMT"/>
          <w:b/>
          <w:bCs/>
        </w:rPr>
        <w:t>TABLE 7</w:t>
      </w:r>
      <w:r w:rsidRPr="002646EE">
        <w:rPr>
          <w:rStyle w:val="NormalWebChar"/>
          <w:rFonts w:eastAsia="ArialMT"/>
        </w:rPr>
        <w:t xml:space="preserve">. </w:t>
      </w:r>
      <w:r w:rsidR="00AA4EE5" w:rsidRPr="002646EE">
        <w:rPr>
          <w:rStyle w:val="NormalWebChar"/>
          <w:rFonts w:eastAsia="ArialMT"/>
        </w:rPr>
        <w:t>Among 3 geens 1 gene (CAT)  is being targeted by 1 unique phytochemical</w:t>
      </w:r>
      <w:r w:rsidR="00B863B5" w:rsidRPr="002646EE">
        <w:rPr>
          <w:rStyle w:val="NormalWebChar"/>
          <w:rFonts w:eastAsia="ArialMT"/>
        </w:rPr>
        <w:t xml:space="preserve">  (Oxalic acid)</w:t>
      </w:r>
    </w:p>
    <w:p w:rsidR="006D4AF2" w:rsidRPr="002646EE" w:rsidRDefault="006D4AF2" w:rsidP="00B863B5">
      <w:pPr>
        <w:autoSpaceDE w:val="0"/>
        <w:autoSpaceDN w:val="0"/>
        <w:adjustRightInd w:val="0"/>
        <w:spacing w:after="0" w:line="360" w:lineRule="auto"/>
        <w:jc w:val="both"/>
        <w:rPr>
          <w:rStyle w:val="NormalWebChar"/>
          <w:rFonts w:eastAsia="ArialMT"/>
        </w:rPr>
      </w:pPr>
    </w:p>
    <w:p w:rsidR="006D4AF2" w:rsidRPr="002646EE" w:rsidRDefault="006D4AF2" w:rsidP="00B863B5">
      <w:pPr>
        <w:autoSpaceDE w:val="0"/>
        <w:autoSpaceDN w:val="0"/>
        <w:adjustRightInd w:val="0"/>
        <w:spacing w:after="0" w:line="360" w:lineRule="auto"/>
        <w:jc w:val="both"/>
        <w:rPr>
          <w:rStyle w:val="NormalWebChar"/>
          <w:rFonts w:eastAsia="ArialMT"/>
        </w:rPr>
      </w:pPr>
    </w:p>
    <w:p w:rsidR="006D4AF2" w:rsidRPr="002646EE" w:rsidRDefault="006D4AF2" w:rsidP="00B863B5">
      <w:pPr>
        <w:autoSpaceDE w:val="0"/>
        <w:autoSpaceDN w:val="0"/>
        <w:adjustRightInd w:val="0"/>
        <w:spacing w:after="0" w:line="360" w:lineRule="auto"/>
        <w:jc w:val="both"/>
        <w:rPr>
          <w:rStyle w:val="NormalWebChar"/>
          <w:rFonts w:eastAsia="ArialMT"/>
        </w:rPr>
        <w:sectPr w:rsidR="006D4AF2" w:rsidRPr="002646EE" w:rsidSect="001C614D">
          <w:pgSz w:w="16838" w:h="11906" w:orient="landscape"/>
          <w:pgMar w:top="1440" w:right="1440" w:bottom="1440" w:left="1440" w:header="708" w:footer="708" w:gutter="0"/>
          <w:cols w:space="708"/>
          <w:docGrid w:linePitch="360"/>
        </w:sectPr>
      </w:pPr>
    </w:p>
    <w:p w:rsidR="00EA7093" w:rsidRPr="002646EE" w:rsidRDefault="00E12CAA" w:rsidP="002D6B34">
      <w:pPr>
        <w:pStyle w:val="Heading2"/>
      </w:pPr>
      <w:r w:rsidRPr="002646EE">
        <w:lastRenderedPageBreak/>
        <w:t xml:space="preserve"> </w:t>
      </w:r>
      <w:bookmarkStart w:id="41" w:name="_Toc171420567"/>
      <w:r w:rsidR="00AD1860" w:rsidRPr="002646EE">
        <w:t>3.3</w:t>
      </w:r>
      <w:r w:rsidRPr="002646EE">
        <w:t xml:space="preserve"> </w:t>
      </w:r>
      <w:r w:rsidR="008C619A" w:rsidRPr="002646EE">
        <w:t xml:space="preserve"> </w:t>
      </w:r>
      <w:r w:rsidR="00EA7093" w:rsidRPr="002646EE">
        <w:t>Indications of Ayurvedic pharmacological action of NK and VA as per ayurveda classiscs</w:t>
      </w:r>
      <w:bookmarkEnd w:id="41"/>
      <w:r w:rsidR="008C619A" w:rsidRPr="002646EE">
        <w:t xml:space="preserve">                       </w:t>
      </w:r>
    </w:p>
    <w:p w:rsidR="002D6B34" w:rsidRPr="002646EE" w:rsidRDefault="002D6B34" w:rsidP="00D2094E">
      <w:pPr>
        <w:pStyle w:val="Heading3"/>
        <w:rPr>
          <w:rFonts w:ascii="Times New Roman" w:hAnsi="Times New Roman" w:cs="Times New Roman"/>
          <w:b/>
          <w:bCs/>
          <w:color w:val="000000" w:themeColor="text1"/>
        </w:rPr>
      </w:pPr>
    </w:p>
    <w:p w:rsidR="00A56B85" w:rsidRPr="002646EE" w:rsidRDefault="002D6B34" w:rsidP="00D2094E">
      <w:pPr>
        <w:pStyle w:val="Heading3"/>
        <w:rPr>
          <w:rFonts w:ascii="Times New Roman" w:hAnsi="Times New Roman" w:cs="Times New Roman"/>
        </w:rPr>
      </w:pPr>
      <w:r w:rsidRPr="002646EE">
        <w:rPr>
          <w:rFonts w:ascii="Times New Roman" w:hAnsi="Times New Roman" w:cs="Times New Roman"/>
        </w:rPr>
        <w:t xml:space="preserve">                                            </w:t>
      </w:r>
      <w:bookmarkStart w:id="42" w:name="_Toc171420568"/>
      <w:r w:rsidR="00A56B85" w:rsidRPr="002646EE">
        <w:rPr>
          <w:rFonts w:ascii="Times New Roman" w:hAnsi="Times New Roman" w:cs="Times New Roman"/>
        </w:rPr>
        <w:t>In</w:t>
      </w:r>
      <w:r w:rsidR="00476CC4" w:rsidRPr="002646EE">
        <w:rPr>
          <w:rFonts w:ascii="Times New Roman" w:hAnsi="Times New Roman" w:cs="Times New Roman"/>
        </w:rPr>
        <w:t>d</w:t>
      </w:r>
      <w:r w:rsidR="00A56B85" w:rsidRPr="002646EE">
        <w:rPr>
          <w:rFonts w:ascii="Times New Roman" w:hAnsi="Times New Roman" w:cs="Times New Roman"/>
        </w:rPr>
        <w:t xml:space="preserve">ications of ayurvedic pharmacological actions of NK and VA </w:t>
      </w:r>
      <w:r w:rsidR="002051F6" w:rsidRPr="002646EE">
        <w:rPr>
          <w:rFonts w:ascii="Times New Roman" w:hAnsi="Times New Roman" w:cs="Times New Roman"/>
        </w:rPr>
        <w:t xml:space="preserve">as per </w:t>
      </w:r>
      <w:r w:rsidR="002051F6" w:rsidRPr="002646EE">
        <w:rPr>
          <w:rFonts w:ascii="Times New Roman" w:hAnsi="Times New Roman" w:cs="Times New Roman"/>
          <w:i/>
        </w:rPr>
        <w:t>Ashtangahrudayam</w:t>
      </w:r>
      <w:r w:rsidR="00476CC4" w:rsidRPr="002646EE">
        <w:rPr>
          <w:rFonts w:ascii="Times New Roman" w:hAnsi="Times New Roman" w:cs="Times New Roman"/>
          <w:i/>
        </w:rPr>
        <w:t>.</w:t>
      </w:r>
      <w:bookmarkEnd w:id="42"/>
      <w:r w:rsidR="00E12CAA" w:rsidRPr="002646EE">
        <w:rPr>
          <w:rFonts w:ascii="Times New Roman" w:hAnsi="Times New Roman" w:cs="Times New Roman"/>
          <w:i/>
        </w:rPr>
        <w:t xml:space="preserve">  </w:t>
      </w:r>
      <w:r w:rsidR="00E12CAA" w:rsidRPr="002646EE">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3656"/>
        <w:gridCol w:w="10292"/>
      </w:tblGrid>
      <w:tr w:rsidR="002051F6" w:rsidRPr="002646EE" w:rsidTr="00E650EB">
        <w:trPr>
          <w:trHeight w:val="288"/>
        </w:trPr>
        <w:tc>
          <w:tcPr>
            <w:tcW w:w="3700" w:type="dxa"/>
            <w:shd w:val="clear" w:color="auto" w:fill="8EAADB" w:themeFill="accent5" w:themeFillTint="99"/>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GANA</w:t>
            </w:r>
          </w:p>
        </w:tc>
        <w:tc>
          <w:tcPr>
            <w:tcW w:w="10420" w:type="dxa"/>
            <w:shd w:val="clear" w:color="auto" w:fill="8EAADB" w:themeFill="accent5" w:themeFillTint="99"/>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Indications</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Virecana gana</w:t>
            </w:r>
          </w:p>
        </w:tc>
        <w:tc>
          <w:tcPr>
            <w:tcW w:w="1042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Purgative plants</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Kaphagna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These are </w:t>
            </w:r>
            <w:r w:rsidRPr="002646EE">
              <w:rPr>
                <w:rFonts w:ascii="Times New Roman" w:eastAsia="ArialMT" w:hAnsi="Times New Roman" w:cs="Times New Roman"/>
                <w:bCs/>
                <w:i/>
                <w:iCs/>
                <w:color w:val="000000" w:themeColor="text1"/>
                <w:sz w:val="24"/>
                <w:szCs w:val="24"/>
              </w:rPr>
              <w:t>asanadi</w:t>
            </w:r>
            <w:r w:rsidRPr="002646EE">
              <w:rPr>
                <w:rFonts w:ascii="Times New Roman" w:eastAsia="ArialMT" w:hAnsi="Times New Roman" w:cs="Times New Roman"/>
                <w:bCs/>
                <w:color w:val="000000" w:themeColor="text1"/>
                <w:sz w:val="24"/>
                <w:szCs w:val="24"/>
              </w:rPr>
              <w:t xml:space="preserve"> group of herbs which actuate</w:t>
            </w:r>
            <w:r w:rsidRPr="002646EE">
              <w:rPr>
                <w:rFonts w:ascii="Times New Roman" w:eastAsia="ArialMT" w:hAnsi="Times New Roman" w:cs="Times New Roman"/>
                <w:bCs/>
                <w:i/>
                <w:iCs/>
                <w:color w:val="000000" w:themeColor="text1"/>
                <w:sz w:val="24"/>
                <w:szCs w:val="24"/>
              </w:rPr>
              <w:t xml:space="preserve"> kapha </w:t>
            </w:r>
            <w:r w:rsidRPr="002646EE">
              <w:rPr>
                <w:rFonts w:ascii="Times New Roman" w:eastAsia="ArialMT" w:hAnsi="Times New Roman" w:cs="Times New Roman"/>
                <w:bCs/>
                <w:color w:val="000000" w:themeColor="text1"/>
                <w:sz w:val="24"/>
                <w:szCs w:val="24"/>
              </w:rPr>
              <w:t xml:space="preserve">&amp; deacrease </w:t>
            </w:r>
            <w:r w:rsidRPr="002646EE">
              <w:rPr>
                <w:rFonts w:ascii="Times New Roman" w:eastAsia="ArialMT" w:hAnsi="Times New Roman" w:cs="Times New Roman"/>
                <w:bCs/>
                <w:i/>
                <w:iCs/>
                <w:color w:val="000000" w:themeColor="text1"/>
                <w:sz w:val="24"/>
                <w:szCs w:val="24"/>
              </w:rPr>
              <w:t>balasa</w:t>
            </w:r>
          </w:p>
        </w:tc>
      </w:tr>
      <w:tr w:rsidR="002051F6" w:rsidRPr="002646EE" w:rsidTr="002051F6">
        <w:trPr>
          <w:trHeight w:val="564"/>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Rodhradi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Rodhra group of herbs is capable to cure diseases of </w:t>
            </w:r>
            <w:r w:rsidRPr="002646EE">
              <w:rPr>
                <w:rFonts w:ascii="Times New Roman" w:eastAsia="ArialMT" w:hAnsi="Times New Roman" w:cs="Times New Roman"/>
                <w:bCs/>
                <w:i/>
                <w:iCs/>
                <w:color w:val="000000" w:themeColor="text1"/>
                <w:sz w:val="24"/>
                <w:szCs w:val="24"/>
              </w:rPr>
              <w:t xml:space="preserve">fat </w:t>
            </w:r>
            <w:r w:rsidRPr="002646EE">
              <w:rPr>
                <w:rFonts w:ascii="Times New Roman" w:eastAsia="ArialMT" w:hAnsi="Times New Roman" w:cs="Times New Roman"/>
                <w:bCs/>
                <w:color w:val="000000" w:themeColor="text1"/>
                <w:sz w:val="24"/>
                <w:szCs w:val="24"/>
              </w:rPr>
              <w:t>&amp;</w:t>
            </w:r>
            <w:r w:rsidRPr="002646EE">
              <w:rPr>
                <w:rFonts w:ascii="Times New Roman" w:eastAsia="ArialMT" w:hAnsi="Times New Roman" w:cs="Times New Roman"/>
                <w:bCs/>
                <w:i/>
                <w:iCs/>
                <w:color w:val="000000" w:themeColor="text1"/>
                <w:sz w:val="24"/>
                <w:szCs w:val="24"/>
              </w:rPr>
              <w:t>Kapha</w:t>
            </w:r>
            <w:r w:rsidRPr="002646EE">
              <w:rPr>
                <w:rFonts w:ascii="Times New Roman" w:eastAsia="ArialMT" w:hAnsi="Times New Roman" w:cs="Times New Roman"/>
                <w:bCs/>
                <w:color w:val="000000" w:themeColor="text1"/>
                <w:sz w:val="24"/>
                <w:szCs w:val="24"/>
              </w:rPr>
              <w:t xml:space="preserve">.It causes blockage to movement of </w:t>
            </w:r>
            <w:r w:rsidRPr="002646EE">
              <w:rPr>
                <w:rFonts w:ascii="Times New Roman" w:eastAsia="ArialMT" w:hAnsi="Times New Roman" w:cs="Times New Roman"/>
                <w:bCs/>
                <w:i/>
                <w:iCs/>
                <w:color w:val="000000" w:themeColor="text1"/>
                <w:sz w:val="24"/>
                <w:szCs w:val="24"/>
              </w:rPr>
              <w:t>doshas</w:t>
            </w:r>
            <w:r w:rsidRPr="002646EE">
              <w:rPr>
                <w:rFonts w:ascii="Times New Roman" w:eastAsia="ArialMT" w:hAnsi="Times New Roman" w:cs="Times New Roman"/>
                <w:bCs/>
                <w:color w:val="000000" w:themeColor="text1"/>
                <w:sz w:val="24"/>
                <w:szCs w:val="24"/>
              </w:rPr>
              <w:t xml:space="preserve"> and </w:t>
            </w:r>
            <w:r w:rsidRPr="002646EE">
              <w:rPr>
                <w:rFonts w:ascii="Times New Roman" w:eastAsia="ArialMT" w:hAnsi="Times New Roman" w:cs="Times New Roman"/>
                <w:bCs/>
                <w:i/>
                <w:iCs/>
                <w:color w:val="000000" w:themeColor="text1"/>
                <w:sz w:val="24"/>
                <w:szCs w:val="24"/>
              </w:rPr>
              <w:t>malas</w:t>
            </w:r>
            <w:r w:rsidRPr="002646EE">
              <w:rPr>
                <w:rFonts w:ascii="Times New Roman" w:eastAsia="ArialMT" w:hAnsi="Times New Roman" w:cs="Times New Roman"/>
                <w:bCs/>
                <w:color w:val="000000" w:themeColor="text1"/>
                <w:sz w:val="24"/>
                <w:szCs w:val="24"/>
              </w:rPr>
              <w:t xml:space="preserve"> , destroys poison related effects.</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Sarivadi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The herbs which cure burning sensation,bleeding disease,thirst &amp; fever.</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Parusakadi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These are the herbs which cure thirst ,urinary disorders &amp; actuate </w:t>
            </w:r>
            <w:r w:rsidRPr="002646EE">
              <w:rPr>
                <w:rFonts w:ascii="Times New Roman" w:eastAsia="ArialMT" w:hAnsi="Times New Roman" w:cs="Times New Roman"/>
                <w:bCs/>
                <w:i/>
                <w:iCs/>
                <w:color w:val="000000" w:themeColor="text1"/>
                <w:sz w:val="24"/>
                <w:szCs w:val="24"/>
              </w:rPr>
              <w:t>vata</w:t>
            </w:r>
          </w:p>
        </w:tc>
      </w:tr>
      <w:tr w:rsidR="002051F6" w:rsidRPr="002646EE" w:rsidTr="002051F6">
        <w:trPr>
          <w:trHeight w:val="564"/>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Asanadi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This group of herbs is capable of cure skin diseases,They actuate kapha &amp; are capable to cure diabetes &amp; disease of fat accumulataion.</w:t>
            </w:r>
          </w:p>
        </w:tc>
      </w:tr>
      <w:tr w:rsidR="002051F6" w:rsidRPr="002646EE" w:rsidTr="002051F6">
        <w:trPr>
          <w:trHeight w:val="564"/>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Virataradi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These group of herbs are capable to cure diseases generated by </w:t>
            </w:r>
            <w:r w:rsidRPr="002646EE">
              <w:rPr>
                <w:rFonts w:ascii="Times New Roman" w:eastAsia="ArialMT" w:hAnsi="Times New Roman" w:cs="Times New Roman"/>
                <w:bCs/>
                <w:i/>
                <w:iCs/>
                <w:color w:val="000000" w:themeColor="text1"/>
                <w:sz w:val="24"/>
                <w:szCs w:val="24"/>
              </w:rPr>
              <w:t>vata</w:t>
            </w:r>
            <w:r w:rsidRPr="002646EE">
              <w:rPr>
                <w:rFonts w:ascii="Times New Roman" w:eastAsia="ArialMT" w:hAnsi="Times New Roman" w:cs="Times New Roman"/>
                <w:bCs/>
                <w:color w:val="000000" w:themeColor="text1"/>
                <w:sz w:val="24"/>
                <w:szCs w:val="24"/>
              </w:rPr>
              <w:t>, urinary stones &amp; gravel, dysuria, suppression of urine and pain.</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Vacaharidradi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This group of herbs cure diseases of fat, </w:t>
            </w:r>
            <w:r w:rsidRPr="002646EE">
              <w:rPr>
                <w:rFonts w:ascii="Times New Roman" w:eastAsia="ArialMT" w:hAnsi="Times New Roman" w:cs="Times New Roman"/>
                <w:bCs/>
                <w:i/>
                <w:iCs/>
                <w:color w:val="000000" w:themeColor="text1"/>
                <w:sz w:val="24"/>
                <w:szCs w:val="24"/>
              </w:rPr>
              <w:t>kapha</w:t>
            </w:r>
            <w:r w:rsidRPr="002646EE">
              <w:rPr>
                <w:rFonts w:ascii="Times New Roman" w:eastAsia="ArialMT" w:hAnsi="Times New Roman" w:cs="Times New Roman"/>
                <w:bCs/>
                <w:color w:val="000000" w:themeColor="text1"/>
                <w:sz w:val="24"/>
                <w:szCs w:val="24"/>
              </w:rPr>
              <w:t>,</w:t>
            </w:r>
            <w:r w:rsidRPr="002646EE">
              <w:rPr>
                <w:rFonts w:ascii="Times New Roman" w:eastAsia="ArialMT" w:hAnsi="Times New Roman" w:cs="Times New Roman"/>
                <w:bCs/>
                <w:i/>
                <w:iCs/>
                <w:color w:val="000000" w:themeColor="text1"/>
                <w:sz w:val="24"/>
                <w:szCs w:val="24"/>
              </w:rPr>
              <w:t>adhyapavana</w:t>
            </w:r>
            <w:r w:rsidRPr="002646EE">
              <w:rPr>
                <w:rFonts w:ascii="Times New Roman" w:eastAsia="ArialMT" w:hAnsi="Times New Roman" w:cs="Times New Roman"/>
                <w:bCs/>
                <w:color w:val="000000" w:themeColor="text1"/>
                <w:sz w:val="24"/>
                <w:szCs w:val="24"/>
              </w:rPr>
              <w:t>.</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Mustadi gana</w:t>
            </w:r>
          </w:p>
        </w:tc>
        <w:tc>
          <w:tcPr>
            <w:tcW w:w="1042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This group of herbs  cooks all the </w:t>
            </w:r>
            <w:r w:rsidRPr="002646EE">
              <w:rPr>
                <w:rFonts w:ascii="Times New Roman" w:eastAsia="ArialMT" w:hAnsi="Times New Roman" w:cs="Times New Roman"/>
                <w:bCs/>
                <w:i/>
                <w:iCs/>
                <w:color w:val="000000" w:themeColor="text1"/>
                <w:sz w:val="24"/>
                <w:szCs w:val="24"/>
              </w:rPr>
              <w:t>doshas</w:t>
            </w:r>
            <w:r w:rsidRPr="002646EE">
              <w:rPr>
                <w:rFonts w:ascii="Times New Roman" w:eastAsia="ArialMT" w:hAnsi="Times New Roman" w:cs="Times New Roman"/>
                <w:bCs/>
                <w:color w:val="000000" w:themeColor="text1"/>
                <w:sz w:val="24"/>
                <w:szCs w:val="24"/>
              </w:rPr>
              <w:t>.</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Padmakadi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These are the herbs which subjugate </w:t>
            </w:r>
            <w:r w:rsidRPr="002646EE">
              <w:rPr>
                <w:rFonts w:ascii="Times New Roman" w:eastAsia="ArialMT" w:hAnsi="Times New Roman" w:cs="Times New Roman"/>
                <w:bCs/>
                <w:i/>
                <w:iCs/>
                <w:color w:val="000000" w:themeColor="text1"/>
                <w:sz w:val="24"/>
                <w:szCs w:val="24"/>
              </w:rPr>
              <w:t>vata</w:t>
            </w:r>
            <w:r w:rsidRPr="002646EE">
              <w:rPr>
                <w:rFonts w:ascii="Times New Roman" w:eastAsia="ArialMT" w:hAnsi="Times New Roman" w:cs="Times New Roman"/>
                <w:bCs/>
                <w:color w:val="000000" w:themeColor="text1"/>
                <w:sz w:val="24"/>
                <w:szCs w:val="24"/>
              </w:rPr>
              <w:t xml:space="preserve"> &amp; </w:t>
            </w:r>
            <w:r w:rsidRPr="002646EE">
              <w:rPr>
                <w:rFonts w:ascii="Times New Roman" w:eastAsia="ArialMT" w:hAnsi="Times New Roman" w:cs="Times New Roman"/>
                <w:bCs/>
                <w:i/>
                <w:iCs/>
                <w:color w:val="000000" w:themeColor="text1"/>
                <w:sz w:val="24"/>
                <w:szCs w:val="24"/>
              </w:rPr>
              <w:t>pitta</w:t>
            </w:r>
            <w:r w:rsidRPr="002646EE">
              <w:rPr>
                <w:rFonts w:ascii="Times New Roman" w:eastAsia="ArialMT" w:hAnsi="Times New Roman" w:cs="Times New Roman"/>
                <w:bCs/>
                <w:color w:val="000000" w:themeColor="text1"/>
                <w:sz w:val="24"/>
                <w:szCs w:val="24"/>
              </w:rPr>
              <w:t>.They are nourishing enlivening,stoutening</w:t>
            </w:r>
            <w:r w:rsidR="00F10E4F">
              <w:rPr>
                <w:rFonts w:ascii="Times New Roman" w:eastAsia="ArialMT" w:hAnsi="Times New Roman" w:cs="Times New Roman"/>
                <w:bCs/>
                <w:color w:val="000000" w:themeColor="text1"/>
                <w:sz w:val="24"/>
                <w:szCs w:val="24"/>
              </w:rPr>
              <w:t>.</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Chardana gana</w:t>
            </w:r>
          </w:p>
        </w:tc>
        <w:tc>
          <w:tcPr>
            <w:tcW w:w="1042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Emetic herbs </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Aragvadhadi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These herbs actuate </w:t>
            </w:r>
            <w:r w:rsidRPr="002646EE">
              <w:rPr>
                <w:rFonts w:ascii="Times New Roman" w:eastAsia="ArialMT" w:hAnsi="Times New Roman" w:cs="Times New Roman"/>
                <w:bCs/>
                <w:i/>
                <w:iCs/>
                <w:color w:val="000000" w:themeColor="text1"/>
                <w:sz w:val="24"/>
                <w:szCs w:val="24"/>
              </w:rPr>
              <w:t>kapha</w:t>
            </w:r>
            <w:r w:rsidRPr="002646EE">
              <w:rPr>
                <w:rFonts w:ascii="Times New Roman" w:eastAsia="ArialMT" w:hAnsi="Times New Roman" w:cs="Times New Roman"/>
                <w:bCs/>
                <w:color w:val="000000" w:themeColor="text1"/>
                <w:sz w:val="24"/>
                <w:szCs w:val="24"/>
              </w:rPr>
              <w:t>,itching, diabetes &amp; also cleans wounds</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Jivaniya gana</w:t>
            </w:r>
          </w:p>
        </w:tc>
        <w:tc>
          <w:tcPr>
            <w:tcW w:w="1042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restorative herbs .</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Arkadi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herbs which actuates kapha &amp; checks fat.Cleanses the wounds.</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lastRenderedPageBreak/>
              <w:t>Vatsakadi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Cures disorders of vata,kapha &amp; medas,rhinitis ,abdominal tumour,colic,haemorrhoids.</w:t>
            </w:r>
          </w:p>
        </w:tc>
      </w:tr>
      <w:tr w:rsidR="002051F6" w:rsidRPr="002646EE" w:rsidTr="002051F6">
        <w:trPr>
          <w:trHeight w:val="288"/>
        </w:trPr>
        <w:tc>
          <w:tcPr>
            <w:tcW w:w="3700" w:type="dxa"/>
            <w:noWrap/>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Syamadi gana</w:t>
            </w:r>
          </w:p>
        </w:tc>
        <w:tc>
          <w:tcPr>
            <w:tcW w:w="10420" w:type="dxa"/>
            <w:hideMark/>
          </w:tcPr>
          <w:p w:rsidR="002051F6" w:rsidRPr="002646EE" w:rsidRDefault="002051F6" w:rsidP="002051F6">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Cures abdominal tumour,anorexia, diseases of </w:t>
            </w:r>
            <w:r w:rsidRPr="002646EE">
              <w:rPr>
                <w:rFonts w:ascii="Times New Roman" w:eastAsia="ArialMT" w:hAnsi="Times New Roman" w:cs="Times New Roman"/>
                <w:bCs/>
                <w:i/>
                <w:iCs/>
                <w:color w:val="000000" w:themeColor="text1"/>
                <w:sz w:val="24"/>
                <w:szCs w:val="24"/>
              </w:rPr>
              <w:t>kapha</w:t>
            </w:r>
            <w:r w:rsidRPr="002646EE">
              <w:rPr>
                <w:rFonts w:ascii="Times New Roman" w:eastAsia="ArialMT" w:hAnsi="Times New Roman" w:cs="Times New Roman"/>
                <w:bCs/>
                <w:color w:val="000000" w:themeColor="text1"/>
                <w:sz w:val="24"/>
                <w:szCs w:val="24"/>
              </w:rPr>
              <w:t>,heart ache &amp; dysuria.</w:t>
            </w:r>
          </w:p>
        </w:tc>
      </w:tr>
    </w:tbl>
    <w:p w:rsidR="00A56B85" w:rsidRPr="002646EE" w:rsidRDefault="00947B63" w:rsidP="00CB2BBE">
      <w:pPr>
        <w:autoSpaceDE w:val="0"/>
        <w:autoSpaceDN w:val="0"/>
        <w:adjustRightInd w:val="0"/>
        <w:spacing w:after="0"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         </w:t>
      </w:r>
    </w:p>
    <w:p w:rsidR="008C619A" w:rsidRPr="002646EE" w:rsidRDefault="008C619A" w:rsidP="00476CC4">
      <w:pPr>
        <w:autoSpaceDE w:val="0"/>
        <w:autoSpaceDN w:val="0"/>
        <w:adjustRightInd w:val="0"/>
        <w:spacing w:after="0"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 xml:space="preserve">                             </w:t>
      </w:r>
      <w:r w:rsidR="00947B63" w:rsidRPr="002646EE">
        <w:rPr>
          <w:rFonts w:ascii="Times New Roman" w:eastAsia="ArialMT" w:hAnsi="Times New Roman" w:cs="Times New Roman"/>
          <w:b/>
          <w:bCs/>
          <w:color w:val="000000" w:themeColor="text1"/>
          <w:sz w:val="24"/>
          <w:szCs w:val="24"/>
        </w:rPr>
        <w:t>TAB</w:t>
      </w:r>
      <w:r w:rsidRPr="002646EE">
        <w:rPr>
          <w:rFonts w:ascii="Times New Roman" w:eastAsia="ArialMT" w:hAnsi="Times New Roman" w:cs="Times New Roman"/>
          <w:b/>
          <w:bCs/>
          <w:color w:val="000000" w:themeColor="text1"/>
          <w:sz w:val="24"/>
          <w:szCs w:val="24"/>
        </w:rPr>
        <w:t>LE 8.</w:t>
      </w:r>
      <w:r w:rsidRPr="002646EE">
        <w:rPr>
          <w:rFonts w:ascii="Times New Roman" w:eastAsia="ArialMT" w:hAnsi="Times New Roman" w:cs="Times New Roman"/>
          <w:bCs/>
          <w:color w:val="000000" w:themeColor="text1"/>
          <w:sz w:val="24"/>
          <w:szCs w:val="24"/>
        </w:rPr>
        <w:t xml:space="preserve"> </w:t>
      </w:r>
      <w:r w:rsidRPr="002646EE">
        <w:rPr>
          <w:rStyle w:val="NormalWebChar"/>
          <w:rFonts w:eastAsiaTheme="minorHAnsi"/>
        </w:rPr>
        <w:t>The groups (gana) containing the ingredients of NK and VA have been tabulated.</w:t>
      </w:r>
    </w:p>
    <w:p w:rsidR="008C619A" w:rsidRPr="002646EE" w:rsidRDefault="008C619A" w:rsidP="00476CC4">
      <w:pPr>
        <w:autoSpaceDE w:val="0"/>
        <w:autoSpaceDN w:val="0"/>
        <w:adjustRightInd w:val="0"/>
        <w:spacing w:after="0" w:line="360" w:lineRule="auto"/>
        <w:jc w:val="both"/>
        <w:rPr>
          <w:rFonts w:ascii="Times New Roman" w:eastAsia="ArialMT" w:hAnsi="Times New Roman" w:cs="Times New Roman"/>
          <w:b/>
          <w:bCs/>
          <w:color w:val="000000" w:themeColor="text1"/>
          <w:sz w:val="24"/>
          <w:szCs w:val="24"/>
        </w:rPr>
      </w:pPr>
    </w:p>
    <w:p w:rsidR="00476CC4" w:rsidRPr="002646EE" w:rsidRDefault="00476CC4" w:rsidP="00476CC4">
      <w:pPr>
        <w:autoSpaceDE w:val="0"/>
        <w:autoSpaceDN w:val="0"/>
        <w:adjustRightInd w:val="0"/>
        <w:spacing w:after="0"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 xml:space="preserve"> </w:t>
      </w:r>
      <w:r w:rsidR="00947B63" w:rsidRPr="002646EE">
        <w:rPr>
          <w:rFonts w:ascii="Times New Roman" w:eastAsia="ArialMT" w:hAnsi="Times New Roman" w:cs="Times New Roman"/>
          <w:b/>
          <w:bCs/>
          <w:color w:val="000000" w:themeColor="text1"/>
          <w:sz w:val="24"/>
          <w:szCs w:val="24"/>
        </w:rPr>
        <w:t xml:space="preserve">  </w:t>
      </w:r>
      <w:r w:rsidRPr="002646EE">
        <w:rPr>
          <w:rFonts w:ascii="Times New Roman" w:eastAsia="ArialMT" w:hAnsi="Times New Roman" w:cs="Times New Roman"/>
          <w:b/>
          <w:bCs/>
          <w:color w:val="000000" w:themeColor="text1"/>
          <w:sz w:val="24"/>
          <w:szCs w:val="24"/>
        </w:rPr>
        <w:t xml:space="preserve"> </w:t>
      </w:r>
      <w:r w:rsidR="002D6B34" w:rsidRPr="002646EE">
        <w:rPr>
          <w:rFonts w:ascii="Times New Roman" w:eastAsia="ArialMT" w:hAnsi="Times New Roman" w:cs="Times New Roman"/>
          <w:b/>
          <w:bCs/>
          <w:color w:val="000000" w:themeColor="text1"/>
          <w:sz w:val="24"/>
          <w:szCs w:val="24"/>
        </w:rPr>
        <w:t xml:space="preserve">                                       </w:t>
      </w:r>
      <w:bookmarkStart w:id="43" w:name="_Toc171420569"/>
      <w:r w:rsidRPr="002646EE">
        <w:rPr>
          <w:rStyle w:val="Heading3Char"/>
          <w:rFonts w:ascii="Times New Roman" w:hAnsi="Times New Roman" w:cs="Times New Roman"/>
        </w:rPr>
        <w:t>Indications of ayurvedic pharmacological actions of NK and VA as per charaka</w:t>
      </w:r>
      <w:bookmarkEnd w:id="43"/>
      <w:r w:rsidRPr="002646EE">
        <w:rPr>
          <w:rFonts w:ascii="Times New Roman" w:eastAsia="ArialMT" w:hAnsi="Times New Roman" w:cs="Times New Roman"/>
          <w:b/>
          <w:bCs/>
          <w:i/>
          <w:color w:val="000000" w:themeColor="text1"/>
          <w:sz w:val="24"/>
          <w:szCs w:val="24"/>
        </w:rPr>
        <w:t xml:space="preserve">.  </w:t>
      </w:r>
      <w:r w:rsidRPr="002646EE">
        <w:rPr>
          <w:rFonts w:ascii="Times New Roman" w:eastAsia="ArialMT" w:hAnsi="Times New Roman" w:cs="Times New Roman"/>
          <w:b/>
          <w:bCs/>
          <w:color w:val="000000" w:themeColor="text1"/>
          <w:sz w:val="24"/>
          <w:szCs w:val="24"/>
        </w:rPr>
        <w:t xml:space="preserve">   </w:t>
      </w:r>
    </w:p>
    <w:tbl>
      <w:tblPr>
        <w:tblStyle w:val="TableGrid"/>
        <w:tblW w:w="0" w:type="auto"/>
        <w:tblLook w:val="04A0" w:firstRow="1" w:lastRow="0" w:firstColumn="1" w:lastColumn="0" w:noHBand="0" w:noVBand="1"/>
      </w:tblPr>
      <w:tblGrid>
        <w:gridCol w:w="3820"/>
        <w:gridCol w:w="10067"/>
      </w:tblGrid>
      <w:tr w:rsidR="00476CC4" w:rsidRPr="002646EE" w:rsidTr="00E650EB">
        <w:trPr>
          <w:trHeight w:val="288"/>
        </w:trPr>
        <w:tc>
          <w:tcPr>
            <w:tcW w:w="3820" w:type="dxa"/>
            <w:shd w:val="clear" w:color="auto" w:fill="8EAADB" w:themeFill="accent5" w:themeFillTint="99"/>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GANA</w:t>
            </w:r>
          </w:p>
        </w:tc>
        <w:tc>
          <w:tcPr>
            <w:tcW w:w="10067" w:type="dxa"/>
            <w:shd w:val="clear" w:color="auto" w:fill="8EAADB" w:themeFill="accent5" w:themeFillTint="99"/>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INDICATIONS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Lekhaniya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Reducing /emaciating drugs which reduces the corpulence  </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Kusthaghna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kusta</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Visaghna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Alexipharmic/anti-poison drug</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Sukrasodhana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Semen depurants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Virecanaopaga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adjuvants (decoctives) of purgative</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Chardinigrahana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anti-emetic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Purisasamgrahaniya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 Group of constipating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Mutravirechaniya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diuretics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Kasahara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anti-tussive</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Jwarahara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febrifuge/antipyretic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Daha-prasamana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allevistors of burning sensation</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Angamarda-prasamana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drugs of alleviator of body ache</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Sonithasthapana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hemoststic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Prajasthapana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Group </w:t>
            </w:r>
            <w:r w:rsidR="00615E90">
              <w:rPr>
                <w:rFonts w:ascii="Times New Roman" w:eastAsia="ArialMT" w:hAnsi="Times New Roman" w:cs="Times New Roman"/>
                <w:bCs/>
                <w:color w:val="000000" w:themeColor="text1"/>
                <w:sz w:val="24"/>
                <w:szCs w:val="24"/>
              </w:rPr>
              <w:t>of drugs of fertility promoting</w:t>
            </w:r>
            <w:r w:rsidRPr="002646EE">
              <w:rPr>
                <w:rFonts w:ascii="Times New Roman" w:eastAsia="ArialMT" w:hAnsi="Times New Roman" w:cs="Times New Roman"/>
                <w:bCs/>
                <w:color w:val="000000" w:themeColor="text1"/>
                <w:sz w:val="24"/>
                <w:szCs w:val="24"/>
              </w:rPr>
              <w:t>/fetus stabilizer</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lastRenderedPageBreak/>
              <w:t>Vayahsthapana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longevity promoting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Jivaniya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life prolonging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Bhedaniya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Lump breaking/cathartic /purgative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Dipaniya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Appetizer/digestive/fire stimulant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Balya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strength promoting/ tonic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Kanthya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beneficial for throat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Traptighna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Anti-satiety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Arsoghna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Piles eliminator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Kusthaghna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Kustha eliminator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Kandughna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Anti-itching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Stanyajanana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Galactogogues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Stanyasodhana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Galacto-purificator group</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Snehopaga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adjuvants decoctives of unction</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Virecanaopaga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adjuvants decoctive of purgatives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Asthapanopaga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adjuvants decoctive of cleansing enema</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Anuwasanopaga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adjuvants decoctive of oleaginous enema</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Hikkanigrahana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hiccup restraining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Mutrasamgrahaniya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urine-collecting i.e;retaining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Mutravirechaniya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diuretic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Kasahara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anti-tussive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Swashara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anti-dyspnoeic acid</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lastRenderedPageBreak/>
              <w:t>Swayathuhara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anti-edema/anti-inflmammatory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Jwarahara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febrbifuge/antipyretic drugs</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Sitaprasamana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drugs alleviator of cold</w:t>
            </w:r>
          </w:p>
        </w:tc>
      </w:tr>
      <w:tr w:rsidR="00476CC4" w:rsidRPr="002646EE" w:rsidTr="008C619A">
        <w:trPr>
          <w:trHeight w:val="288"/>
        </w:trPr>
        <w:tc>
          <w:tcPr>
            <w:tcW w:w="3820"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Angamarda-prasamana</w:t>
            </w:r>
          </w:p>
        </w:tc>
        <w:tc>
          <w:tcPr>
            <w:tcW w:w="10067" w:type="dxa"/>
            <w:noWrap/>
            <w:hideMark/>
          </w:tcPr>
          <w:p w:rsidR="00476CC4" w:rsidRPr="002646EE" w:rsidRDefault="00476CC4" w:rsidP="00476CC4">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Group of drugs alleviator of body ache</w:t>
            </w:r>
          </w:p>
        </w:tc>
      </w:tr>
    </w:tbl>
    <w:p w:rsidR="008C619A" w:rsidRPr="002646EE" w:rsidRDefault="00476CC4" w:rsidP="00476CC4">
      <w:pPr>
        <w:autoSpaceDE w:val="0"/>
        <w:autoSpaceDN w:val="0"/>
        <w:adjustRightInd w:val="0"/>
        <w:spacing w:after="0"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                        </w:t>
      </w:r>
    </w:p>
    <w:p w:rsidR="008C619A" w:rsidRPr="002646EE" w:rsidRDefault="008C619A" w:rsidP="00476CC4">
      <w:pPr>
        <w:autoSpaceDE w:val="0"/>
        <w:autoSpaceDN w:val="0"/>
        <w:adjustRightInd w:val="0"/>
        <w:spacing w:after="0"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 xml:space="preserve"> </w:t>
      </w:r>
      <w:r w:rsidRPr="002646EE">
        <w:rPr>
          <w:rFonts w:ascii="Times New Roman" w:eastAsia="ArialMT" w:hAnsi="Times New Roman" w:cs="Times New Roman"/>
          <w:b/>
          <w:bCs/>
          <w:color w:val="000000" w:themeColor="text1"/>
          <w:sz w:val="24"/>
          <w:szCs w:val="24"/>
        </w:rPr>
        <w:t xml:space="preserve">            TABLE 9.</w:t>
      </w:r>
      <w:r w:rsidRPr="002646EE">
        <w:rPr>
          <w:rFonts w:ascii="Times New Roman" w:eastAsia="ArialMT" w:hAnsi="Times New Roman" w:cs="Times New Roman"/>
          <w:bCs/>
          <w:color w:val="000000" w:themeColor="text1"/>
          <w:sz w:val="24"/>
          <w:szCs w:val="24"/>
        </w:rPr>
        <w:t xml:space="preserve"> </w:t>
      </w:r>
      <w:r w:rsidRPr="002646EE">
        <w:rPr>
          <w:rStyle w:val="NormalWebChar"/>
          <w:rFonts w:eastAsiaTheme="minorHAnsi"/>
        </w:rPr>
        <w:t>The groups (gana) containing the ingredients of NK and VA have been tabulated.</w:t>
      </w:r>
      <w:r w:rsidR="00476CC4" w:rsidRPr="002646EE">
        <w:rPr>
          <w:rFonts w:ascii="Times New Roman" w:eastAsia="ArialMT" w:hAnsi="Times New Roman" w:cs="Times New Roman"/>
          <w:bCs/>
          <w:color w:val="000000" w:themeColor="text1"/>
          <w:sz w:val="24"/>
          <w:szCs w:val="24"/>
        </w:rPr>
        <w:t xml:space="preserve">     </w:t>
      </w:r>
    </w:p>
    <w:p w:rsidR="008C619A" w:rsidRPr="002646EE" w:rsidRDefault="008C619A" w:rsidP="00476CC4">
      <w:pPr>
        <w:autoSpaceDE w:val="0"/>
        <w:autoSpaceDN w:val="0"/>
        <w:adjustRightInd w:val="0"/>
        <w:spacing w:after="0" w:line="360" w:lineRule="auto"/>
        <w:jc w:val="both"/>
        <w:rPr>
          <w:rFonts w:ascii="Times New Roman" w:eastAsia="ArialMT" w:hAnsi="Times New Roman" w:cs="Times New Roman"/>
          <w:bCs/>
          <w:color w:val="000000" w:themeColor="text1"/>
          <w:sz w:val="24"/>
          <w:szCs w:val="24"/>
        </w:rPr>
      </w:pPr>
    </w:p>
    <w:p w:rsidR="00476CC4" w:rsidRPr="002646EE" w:rsidRDefault="00476CC4" w:rsidP="00D2094E">
      <w:pPr>
        <w:pStyle w:val="Heading3"/>
        <w:rPr>
          <w:rFonts w:ascii="Times New Roman" w:hAnsi="Times New Roman" w:cs="Times New Roman"/>
        </w:rPr>
      </w:pPr>
      <w:r w:rsidRPr="002646EE">
        <w:rPr>
          <w:rFonts w:ascii="Times New Roman" w:hAnsi="Times New Roman" w:cs="Times New Roman"/>
        </w:rPr>
        <w:t xml:space="preserve">    </w:t>
      </w:r>
    </w:p>
    <w:p w:rsidR="00947B63" w:rsidRPr="002646EE" w:rsidRDefault="002D6B34" w:rsidP="00D2094E">
      <w:pPr>
        <w:pStyle w:val="Heading3"/>
        <w:rPr>
          <w:rFonts w:ascii="Times New Roman" w:hAnsi="Times New Roman" w:cs="Times New Roman"/>
          <w:i/>
        </w:rPr>
      </w:pPr>
      <w:r w:rsidRPr="002646EE">
        <w:rPr>
          <w:rFonts w:ascii="Times New Roman" w:hAnsi="Times New Roman" w:cs="Times New Roman"/>
          <w:b/>
        </w:rPr>
        <w:t xml:space="preserve">                                       </w:t>
      </w:r>
      <w:r w:rsidR="00947B63" w:rsidRPr="002646EE">
        <w:rPr>
          <w:rFonts w:ascii="Times New Roman" w:hAnsi="Times New Roman" w:cs="Times New Roman"/>
          <w:b/>
        </w:rPr>
        <w:t xml:space="preserve"> </w:t>
      </w:r>
      <w:bookmarkStart w:id="44" w:name="_Toc171420570"/>
      <w:r w:rsidR="00947B63" w:rsidRPr="002646EE">
        <w:rPr>
          <w:rFonts w:ascii="Times New Roman" w:hAnsi="Times New Roman" w:cs="Times New Roman"/>
        </w:rPr>
        <w:t xml:space="preserve">Indications of ayurvedic pharmacological actions of NK and VA as per </w:t>
      </w:r>
      <w:r w:rsidR="00947B63" w:rsidRPr="002646EE">
        <w:rPr>
          <w:rFonts w:ascii="Times New Roman" w:hAnsi="Times New Roman" w:cs="Times New Roman"/>
          <w:i/>
        </w:rPr>
        <w:t>sushrutha.</w:t>
      </w:r>
      <w:bookmarkEnd w:id="44"/>
    </w:p>
    <w:tbl>
      <w:tblPr>
        <w:tblStyle w:val="TableGrid"/>
        <w:tblW w:w="0" w:type="auto"/>
        <w:tblLook w:val="04A0" w:firstRow="1" w:lastRow="0" w:firstColumn="1" w:lastColumn="0" w:noHBand="0" w:noVBand="1"/>
      </w:tblPr>
      <w:tblGrid>
        <w:gridCol w:w="4429"/>
        <w:gridCol w:w="9519"/>
      </w:tblGrid>
      <w:tr w:rsidR="00947B63" w:rsidRPr="002646EE" w:rsidTr="00E650EB">
        <w:trPr>
          <w:trHeight w:val="288"/>
        </w:trPr>
        <w:tc>
          <w:tcPr>
            <w:tcW w:w="5960" w:type="dxa"/>
            <w:shd w:val="clear" w:color="auto" w:fill="9CC2E5" w:themeFill="accent1" w:themeFillTint="99"/>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GANA</w:t>
            </w:r>
          </w:p>
        </w:tc>
        <w:tc>
          <w:tcPr>
            <w:tcW w:w="12900" w:type="dxa"/>
            <w:shd w:val="clear" w:color="auto" w:fill="9CC2E5" w:themeFill="accent1" w:themeFillTint="99"/>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INDICATIONS</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Salasaradi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Cures diabetes, dries up kapha and medas</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Muskakadi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fat, cures diabetes,haemorrhoids,urinary calculus &amp; gravel</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Haridradi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Relieve nacent diarrhoea &amp; mitigate the doshas</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Sarivadi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Cures severe thirst, bleeding diseases,mitigates fever of pitta origin &amp; burning sensation</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Parusakadi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vata, disorders of urine, good for heart,relieves severe thirst, bestows taste</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Lodhradi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fat &amp; kapha, witholds elimination, bestows colour &amp; destroys poison</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Nyagrodhadi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It is constipating, cures burning sensation, obesity.</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Mustadi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kapha, it is digestive.</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Triphala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All three together mitigates kapha &amp; pitta, cures diabetes,good for eyes,kindles digestion.</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Amalakyadi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kapha &amp; anorexia, kindles hunger,good for vision</w:t>
            </w:r>
          </w:p>
        </w:tc>
      </w:tr>
      <w:tr w:rsidR="00947B63" w:rsidRPr="002646EE" w:rsidTr="00947B63">
        <w:trPr>
          <w:trHeight w:val="288"/>
        </w:trPr>
        <w:tc>
          <w:tcPr>
            <w:tcW w:w="5960" w:type="dxa"/>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Vidarigandhadigana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pitta &amp; vata , cures consumption.</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lastRenderedPageBreak/>
              <w:t>varunadi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kapha &amp; medas (fat) , cures internal abscesses</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Viratarvadi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Cures diseases caused by aggravation of vata, urinary calculus &amp; gravel, dysuria &amp; pain of retention of urine.</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Arkadi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kapha, medas , heals  wounds.</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Syamadi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Cures abdominal tumors, flatulence, enlargement of abdomen, reverse perisstalsis.</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Brhatyadi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It is digestive, mitigates pitta, vata &amp; kapha, cures anorexia, heart diseases &amp; dysuria.</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Patoladi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pitta &amp; kapha,good for ulcers,cures vomitting,itching &amp; poison.</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Kakolyadi gana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Mitigates pitta, rakta &amp; vata, is restorative, stoutening &amp; increases kapha.</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 xml:space="preserve">Kaniya/hrasva/laghu pancamula </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This is astringent, bitter &amp; sweet in taste, mitigates vata &amp; pitta , is stoutening &amp; bestows strength</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Mahat /brhat panchamula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It is bitter in primary taste &amp; sweet in secondary taste, mitigates kapha &amp; vata, light ( Easily digestible) &amp; kindles digestive fire.</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Kantaki panchamula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Cures bleeding diseases , all three types of swelling , all types of diabetes.</w:t>
            </w:r>
          </w:p>
        </w:tc>
      </w:tr>
      <w:tr w:rsidR="00947B63" w:rsidRPr="002646EE" w:rsidTr="00947B63">
        <w:trPr>
          <w:trHeight w:val="288"/>
        </w:trPr>
        <w:tc>
          <w:tcPr>
            <w:tcW w:w="596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i/>
                <w:iCs/>
                <w:color w:val="000000" w:themeColor="text1"/>
                <w:sz w:val="24"/>
                <w:szCs w:val="24"/>
              </w:rPr>
            </w:pPr>
            <w:r w:rsidRPr="002646EE">
              <w:rPr>
                <w:rFonts w:ascii="Times New Roman" w:eastAsia="ArialMT" w:hAnsi="Times New Roman" w:cs="Times New Roman"/>
                <w:bCs/>
                <w:i/>
                <w:iCs/>
                <w:color w:val="000000" w:themeColor="text1"/>
                <w:sz w:val="24"/>
                <w:szCs w:val="24"/>
              </w:rPr>
              <w:t>Trna panchamula</w:t>
            </w:r>
          </w:p>
        </w:tc>
        <w:tc>
          <w:tcPr>
            <w:tcW w:w="12900" w:type="dxa"/>
            <w:noWrap/>
            <w:hideMark/>
          </w:tcPr>
          <w:p w:rsidR="00947B63" w:rsidRPr="002646EE" w:rsidRDefault="00947B63" w:rsidP="00947B63">
            <w:pPr>
              <w:autoSpaceDE w:val="0"/>
              <w:autoSpaceDN w:val="0"/>
              <w:adjustRightInd w:val="0"/>
              <w:spacing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Cs/>
                <w:color w:val="000000" w:themeColor="text1"/>
                <w:sz w:val="24"/>
                <w:szCs w:val="24"/>
              </w:rPr>
              <w:t>Cures quickly diseases of urine &amp; bleeding disease when administered along with milk.</w:t>
            </w:r>
          </w:p>
        </w:tc>
      </w:tr>
    </w:tbl>
    <w:p w:rsidR="00947B63" w:rsidRPr="002646EE" w:rsidRDefault="00947B63" w:rsidP="00476CC4">
      <w:pPr>
        <w:autoSpaceDE w:val="0"/>
        <w:autoSpaceDN w:val="0"/>
        <w:adjustRightInd w:val="0"/>
        <w:spacing w:after="0" w:line="360" w:lineRule="auto"/>
        <w:jc w:val="both"/>
        <w:rPr>
          <w:rFonts w:ascii="Times New Roman" w:eastAsia="ArialMT" w:hAnsi="Times New Roman" w:cs="Times New Roman"/>
          <w:bCs/>
          <w:color w:val="000000" w:themeColor="text1"/>
          <w:sz w:val="24"/>
          <w:szCs w:val="24"/>
        </w:rPr>
      </w:pPr>
    </w:p>
    <w:p w:rsidR="00952DFA" w:rsidRPr="002646EE" w:rsidRDefault="008C619A" w:rsidP="00CB2BBE">
      <w:pPr>
        <w:autoSpaceDE w:val="0"/>
        <w:autoSpaceDN w:val="0"/>
        <w:adjustRightInd w:val="0"/>
        <w:spacing w:after="0" w:line="360" w:lineRule="auto"/>
        <w:jc w:val="both"/>
        <w:rPr>
          <w:rFonts w:ascii="Times New Roman" w:eastAsia="ArialMT" w:hAnsi="Times New Roman" w:cs="Times New Roman"/>
          <w:bCs/>
          <w:color w:val="000000" w:themeColor="text1"/>
          <w:sz w:val="24"/>
          <w:szCs w:val="24"/>
        </w:rPr>
      </w:pPr>
      <w:r w:rsidRPr="002646EE">
        <w:rPr>
          <w:rFonts w:ascii="Times New Roman" w:eastAsia="ArialMT" w:hAnsi="Times New Roman" w:cs="Times New Roman"/>
          <w:b/>
          <w:bCs/>
          <w:color w:val="000000" w:themeColor="text1"/>
          <w:sz w:val="24"/>
          <w:szCs w:val="24"/>
        </w:rPr>
        <w:t xml:space="preserve">                              TABLE 10.</w:t>
      </w:r>
      <w:r w:rsidRPr="002646EE">
        <w:rPr>
          <w:rFonts w:ascii="Times New Roman" w:eastAsia="ArialMT" w:hAnsi="Times New Roman" w:cs="Times New Roman"/>
          <w:bCs/>
          <w:color w:val="000000" w:themeColor="text1"/>
          <w:sz w:val="24"/>
          <w:szCs w:val="24"/>
        </w:rPr>
        <w:t xml:space="preserve"> </w:t>
      </w:r>
      <w:r w:rsidRPr="002646EE">
        <w:rPr>
          <w:rStyle w:val="NormalWebChar"/>
          <w:rFonts w:eastAsiaTheme="minorHAnsi"/>
        </w:rPr>
        <w:t>The groups (gana) containing the ingredients of NK and VA have been tabulated.</w:t>
      </w:r>
      <w:r w:rsidRPr="002646EE">
        <w:rPr>
          <w:rFonts w:ascii="Times New Roman" w:eastAsia="ArialMT" w:hAnsi="Times New Roman" w:cs="Times New Roman"/>
          <w:bCs/>
          <w:color w:val="000000" w:themeColor="text1"/>
          <w:sz w:val="24"/>
          <w:szCs w:val="24"/>
        </w:rPr>
        <w:t xml:space="preserve">   </w:t>
      </w:r>
    </w:p>
    <w:p w:rsidR="00952DFA" w:rsidRPr="002646EE" w:rsidRDefault="00952DFA" w:rsidP="00CB2BBE">
      <w:pPr>
        <w:autoSpaceDE w:val="0"/>
        <w:autoSpaceDN w:val="0"/>
        <w:adjustRightInd w:val="0"/>
        <w:spacing w:after="0" w:line="360" w:lineRule="auto"/>
        <w:jc w:val="both"/>
        <w:rPr>
          <w:rFonts w:ascii="Times New Roman" w:hAnsi="Times New Roman" w:cs="Times New Roman"/>
          <w:b/>
          <w:sz w:val="24"/>
          <w:szCs w:val="24"/>
        </w:rPr>
      </w:pPr>
    </w:p>
    <w:p w:rsidR="007F4C0C" w:rsidRPr="002646EE" w:rsidRDefault="007F4C0C" w:rsidP="00CB2BBE">
      <w:pPr>
        <w:autoSpaceDE w:val="0"/>
        <w:autoSpaceDN w:val="0"/>
        <w:adjustRightInd w:val="0"/>
        <w:spacing w:after="0" w:line="360" w:lineRule="auto"/>
        <w:jc w:val="both"/>
        <w:rPr>
          <w:rFonts w:ascii="Times New Roman" w:hAnsi="Times New Roman" w:cs="Times New Roman"/>
          <w:b/>
          <w:sz w:val="24"/>
          <w:szCs w:val="24"/>
        </w:rPr>
      </w:pPr>
    </w:p>
    <w:p w:rsidR="007F4C0C" w:rsidRPr="002646EE" w:rsidRDefault="007F4C0C" w:rsidP="00CB2BBE">
      <w:pPr>
        <w:autoSpaceDE w:val="0"/>
        <w:autoSpaceDN w:val="0"/>
        <w:adjustRightInd w:val="0"/>
        <w:spacing w:after="0" w:line="360" w:lineRule="auto"/>
        <w:jc w:val="both"/>
        <w:rPr>
          <w:rFonts w:ascii="Times New Roman" w:hAnsi="Times New Roman" w:cs="Times New Roman"/>
          <w:b/>
          <w:bCs/>
          <w:sz w:val="24"/>
          <w:szCs w:val="24"/>
        </w:rPr>
      </w:pPr>
    </w:p>
    <w:p w:rsidR="007F4C0C" w:rsidRPr="002646EE" w:rsidRDefault="007F4C0C" w:rsidP="00CB2BBE">
      <w:pPr>
        <w:autoSpaceDE w:val="0"/>
        <w:autoSpaceDN w:val="0"/>
        <w:adjustRightInd w:val="0"/>
        <w:spacing w:after="0" w:line="360" w:lineRule="auto"/>
        <w:jc w:val="both"/>
        <w:rPr>
          <w:rFonts w:ascii="Times New Roman" w:hAnsi="Times New Roman" w:cs="Times New Roman"/>
          <w:b/>
          <w:bCs/>
          <w:sz w:val="24"/>
          <w:szCs w:val="24"/>
        </w:rPr>
      </w:pPr>
    </w:p>
    <w:p w:rsidR="002D6B34" w:rsidRPr="002646EE" w:rsidRDefault="007F4C0C" w:rsidP="00CB2BBE">
      <w:pPr>
        <w:autoSpaceDE w:val="0"/>
        <w:autoSpaceDN w:val="0"/>
        <w:adjustRightInd w:val="0"/>
        <w:spacing w:after="0" w:line="360" w:lineRule="auto"/>
        <w:jc w:val="both"/>
        <w:rPr>
          <w:rFonts w:ascii="Times New Roman" w:hAnsi="Times New Roman" w:cs="Times New Roman"/>
          <w:b/>
          <w:bCs/>
          <w:sz w:val="24"/>
          <w:szCs w:val="24"/>
        </w:rPr>
      </w:pPr>
      <w:r w:rsidRPr="002646EE">
        <w:rPr>
          <w:rFonts w:ascii="Times New Roman" w:hAnsi="Times New Roman" w:cs="Times New Roman"/>
          <w:b/>
          <w:bCs/>
          <w:sz w:val="24"/>
          <w:szCs w:val="24"/>
        </w:rPr>
        <w:t xml:space="preserve">                        </w:t>
      </w:r>
    </w:p>
    <w:p w:rsidR="00ED4D39" w:rsidRDefault="002D6B34" w:rsidP="00CB2BBE">
      <w:pPr>
        <w:autoSpaceDE w:val="0"/>
        <w:autoSpaceDN w:val="0"/>
        <w:adjustRightInd w:val="0"/>
        <w:spacing w:after="0" w:line="360" w:lineRule="auto"/>
        <w:jc w:val="both"/>
        <w:rPr>
          <w:rFonts w:ascii="Times New Roman" w:hAnsi="Times New Roman" w:cs="Times New Roman"/>
          <w:b/>
          <w:bCs/>
          <w:sz w:val="24"/>
          <w:szCs w:val="24"/>
        </w:rPr>
      </w:pPr>
      <w:r w:rsidRPr="002646EE">
        <w:rPr>
          <w:rFonts w:ascii="Times New Roman" w:hAnsi="Times New Roman" w:cs="Times New Roman"/>
          <w:b/>
          <w:bCs/>
          <w:sz w:val="24"/>
          <w:szCs w:val="24"/>
        </w:rPr>
        <w:t xml:space="preserve">                                 </w:t>
      </w:r>
    </w:p>
    <w:p w:rsidR="003B5822" w:rsidRDefault="00ED4D39" w:rsidP="00CB2BBE">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2D6B34" w:rsidRPr="002646EE">
        <w:rPr>
          <w:rFonts w:ascii="Times New Roman" w:hAnsi="Times New Roman" w:cs="Times New Roman"/>
          <w:b/>
          <w:bCs/>
          <w:sz w:val="24"/>
          <w:szCs w:val="24"/>
        </w:rPr>
        <w:t xml:space="preserve"> </w:t>
      </w:r>
      <w:r w:rsidR="00952DFA" w:rsidRPr="002646EE">
        <w:rPr>
          <w:rFonts w:ascii="Times New Roman" w:hAnsi="Times New Roman" w:cs="Times New Roman"/>
          <w:b/>
          <w:bCs/>
          <w:sz w:val="24"/>
          <w:szCs w:val="24"/>
        </w:rPr>
        <w:t xml:space="preserve"> </w:t>
      </w:r>
    </w:p>
    <w:p w:rsidR="003B5822" w:rsidRDefault="003B5822" w:rsidP="00CB2BBE">
      <w:pPr>
        <w:autoSpaceDE w:val="0"/>
        <w:autoSpaceDN w:val="0"/>
        <w:adjustRightInd w:val="0"/>
        <w:spacing w:after="0" w:line="360" w:lineRule="auto"/>
        <w:jc w:val="both"/>
        <w:rPr>
          <w:rFonts w:ascii="Times New Roman" w:hAnsi="Times New Roman" w:cs="Times New Roman"/>
          <w:b/>
          <w:bCs/>
          <w:sz w:val="24"/>
          <w:szCs w:val="24"/>
        </w:rPr>
      </w:pPr>
    </w:p>
    <w:p w:rsidR="003B5822" w:rsidRDefault="003B5822" w:rsidP="00CB2BBE">
      <w:pPr>
        <w:autoSpaceDE w:val="0"/>
        <w:autoSpaceDN w:val="0"/>
        <w:adjustRightInd w:val="0"/>
        <w:spacing w:after="0" w:line="360" w:lineRule="auto"/>
        <w:jc w:val="both"/>
        <w:rPr>
          <w:rFonts w:ascii="Times New Roman" w:hAnsi="Times New Roman" w:cs="Times New Roman"/>
          <w:b/>
          <w:bCs/>
          <w:sz w:val="24"/>
          <w:szCs w:val="24"/>
        </w:rPr>
      </w:pPr>
    </w:p>
    <w:p w:rsidR="00CB2BBE" w:rsidRDefault="00EA7093" w:rsidP="003B5822">
      <w:pPr>
        <w:autoSpaceDE w:val="0"/>
        <w:autoSpaceDN w:val="0"/>
        <w:adjustRightInd w:val="0"/>
        <w:spacing w:after="0" w:line="360" w:lineRule="auto"/>
        <w:jc w:val="center"/>
        <w:rPr>
          <w:rStyle w:val="Heading3Char"/>
          <w:rFonts w:ascii="Times New Roman" w:hAnsi="Times New Roman" w:cs="Times New Roman"/>
        </w:rPr>
      </w:pPr>
      <w:r w:rsidRPr="002646EE">
        <w:rPr>
          <w:rFonts w:ascii="Times New Roman" w:hAnsi="Times New Roman" w:cs="Times New Roman"/>
          <w:b/>
          <w:bCs/>
          <w:sz w:val="24"/>
          <w:szCs w:val="24"/>
        </w:rPr>
        <w:t xml:space="preserve">TABLE 11. </w:t>
      </w:r>
      <w:r w:rsidR="006D4AF2" w:rsidRPr="002646EE">
        <w:rPr>
          <w:rStyle w:val="Heading3Char"/>
          <w:rFonts w:ascii="Times New Roman" w:hAnsi="Times New Roman" w:cs="Times New Roman"/>
        </w:rPr>
        <w:t>Ayurvedic pharmacological action of</w:t>
      </w:r>
      <w:r w:rsidR="008C619A" w:rsidRPr="002646EE">
        <w:rPr>
          <w:rStyle w:val="Heading3Char"/>
          <w:rFonts w:ascii="Times New Roman" w:hAnsi="Times New Roman" w:cs="Times New Roman"/>
        </w:rPr>
        <w:t xml:space="preserve"> Ingredients of </w:t>
      </w:r>
      <w:r w:rsidR="006D4AF2" w:rsidRPr="002646EE">
        <w:rPr>
          <w:rStyle w:val="Heading3Char"/>
          <w:rFonts w:ascii="Times New Roman" w:hAnsi="Times New Roman" w:cs="Times New Roman"/>
        </w:rPr>
        <w:t xml:space="preserve"> NK as per Ashtangahrudayam.</w:t>
      </w:r>
    </w:p>
    <w:p w:rsidR="003E620D" w:rsidRDefault="003E620D" w:rsidP="00CB2BBE">
      <w:pPr>
        <w:autoSpaceDE w:val="0"/>
        <w:autoSpaceDN w:val="0"/>
        <w:adjustRightInd w:val="0"/>
        <w:spacing w:after="0" w:line="360" w:lineRule="auto"/>
        <w:jc w:val="both"/>
        <w:rPr>
          <w:rStyle w:val="Heading3Char"/>
          <w:rFonts w:ascii="Times New Roman" w:hAnsi="Times New Roman" w:cs="Times New Roman"/>
        </w:rPr>
      </w:pPr>
    </w:p>
    <w:p w:rsidR="003E620D" w:rsidRDefault="003E620D" w:rsidP="00CB2BBE">
      <w:pPr>
        <w:autoSpaceDE w:val="0"/>
        <w:autoSpaceDN w:val="0"/>
        <w:adjustRightInd w:val="0"/>
        <w:spacing w:after="0" w:line="360" w:lineRule="auto"/>
        <w:jc w:val="both"/>
        <w:rPr>
          <w:rStyle w:val="Heading3Char"/>
          <w:rFonts w:ascii="Times New Roman" w:hAnsi="Times New Roman" w:cs="Times New Roman"/>
        </w:rPr>
      </w:pPr>
      <w:r w:rsidRPr="003E620D">
        <w:drawing>
          <wp:anchor distT="0" distB="0" distL="114300" distR="114300" simplePos="0" relativeHeight="251689984" behindDoc="0" locked="0" layoutInCell="1" allowOverlap="1">
            <wp:simplePos x="0" y="0"/>
            <wp:positionH relativeFrom="column">
              <wp:posOffset>-857250</wp:posOffset>
            </wp:positionH>
            <wp:positionV relativeFrom="paragraph">
              <wp:posOffset>274320</wp:posOffset>
            </wp:positionV>
            <wp:extent cx="10455275" cy="2879725"/>
            <wp:effectExtent l="0" t="0" r="317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527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620D" w:rsidRDefault="003E620D" w:rsidP="00CB2BBE">
      <w:pPr>
        <w:autoSpaceDE w:val="0"/>
        <w:autoSpaceDN w:val="0"/>
        <w:adjustRightInd w:val="0"/>
        <w:spacing w:after="0" w:line="360" w:lineRule="auto"/>
        <w:jc w:val="both"/>
        <w:rPr>
          <w:rStyle w:val="Heading3Char"/>
          <w:rFonts w:ascii="Times New Roman" w:hAnsi="Times New Roman" w:cs="Times New Roman"/>
        </w:rPr>
      </w:pPr>
    </w:p>
    <w:p w:rsidR="008C619A" w:rsidRPr="002646EE" w:rsidRDefault="00416C55" w:rsidP="003E620D">
      <w:pPr>
        <w:autoSpaceDE w:val="0"/>
        <w:autoSpaceDN w:val="0"/>
        <w:adjustRightInd w:val="0"/>
        <w:spacing w:after="0" w:line="360" w:lineRule="auto"/>
        <w:jc w:val="center"/>
        <w:rPr>
          <w:rFonts w:ascii="Times New Roman" w:hAnsi="Times New Roman" w:cs="Times New Roman"/>
          <w:b/>
          <w:sz w:val="24"/>
          <w:szCs w:val="24"/>
        </w:rPr>
      </w:pPr>
      <w:r w:rsidRPr="002646EE">
        <w:rPr>
          <w:rFonts w:ascii="Times New Roman" w:hAnsi="Times New Roman" w:cs="Times New Roman"/>
          <w:b/>
          <w:sz w:val="24"/>
          <w:szCs w:val="24"/>
        </w:rPr>
        <w:t xml:space="preserve">Nisha </w:t>
      </w:r>
      <w:r w:rsidR="00037342" w:rsidRPr="002646EE">
        <w:rPr>
          <w:rFonts w:ascii="Times New Roman" w:hAnsi="Times New Roman" w:cs="Times New Roman"/>
          <w:b/>
          <w:sz w:val="24"/>
          <w:szCs w:val="24"/>
        </w:rPr>
        <w:t>is found out in 3 groups, Kataka</w:t>
      </w:r>
      <w:r w:rsidR="00D43FE2" w:rsidRPr="002646EE">
        <w:rPr>
          <w:rFonts w:ascii="Times New Roman" w:hAnsi="Times New Roman" w:cs="Times New Roman"/>
          <w:b/>
          <w:sz w:val="24"/>
          <w:szCs w:val="24"/>
        </w:rPr>
        <w:t>,</w:t>
      </w:r>
      <w:r w:rsidR="00D43FE2" w:rsidRPr="002646EE">
        <w:rPr>
          <w:rFonts w:ascii="Times New Roman" w:hAnsi="Times New Roman" w:cs="Times New Roman"/>
          <w:sz w:val="24"/>
          <w:szCs w:val="24"/>
        </w:rPr>
        <w:t xml:space="preserve"> </w:t>
      </w:r>
      <w:r w:rsidR="00D43FE2" w:rsidRPr="002646EE">
        <w:rPr>
          <w:rFonts w:ascii="Times New Roman" w:hAnsi="Times New Roman" w:cs="Times New Roman"/>
          <w:b/>
          <w:sz w:val="24"/>
          <w:szCs w:val="24"/>
        </w:rPr>
        <w:t xml:space="preserve">lodra, Gorakshaganja, usheera, </w:t>
      </w:r>
      <w:r w:rsidR="00E640DC" w:rsidRPr="002646EE">
        <w:rPr>
          <w:rFonts w:ascii="Times New Roman" w:hAnsi="Times New Roman" w:cs="Times New Roman"/>
          <w:b/>
          <w:sz w:val="24"/>
          <w:szCs w:val="24"/>
        </w:rPr>
        <w:t>Amalaki in 1 group</w:t>
      </w:r>
      <w:r w:rsidRPr="002646EE">
        <w:rPr>
          <w:rFonts w:ascii="Times New Roman" w:hAnsi="Times New Roman" w:cs="Times New Roman"/>
          <w:b/>
          <w:sz w:val="24"/>
          <w:szCs w:val="24"/>
        </w:rPr>
        <w:t xml:space="preserve"> as per ashtangahrudayam. Indications of each group is</w:t>
      </w:r>
      <w:r w:rsidR="00ED4D39">
        <w:rPr>
          <w:rFonts w:ascii="Times New Roman" w:hAnsi="Times New Roman" w:cs="Times New Roman"/>
          <w:b/>
          <w:sz w:val="24"/>
          <w:szCs w:val="24"/>
        </w:rPr>
        <w:t xml:space="preserve"> mentioned in table 11.</w:t>
      </w:r>
    </w:p>
    <w:p w:rsidR="008C619A" w:rsidRPr="002646EE" w:rsidRDefault="008C619A" w:rsidP="003E620D">
      <w:pPr>
        <w:autoSpaceDE w:val="0"/>
        <w:autoSpaceDN w:val="0"/>
        <w:adjustRightInd w:val="0"/>
        <w:spacing w:after="0" w:line="360" w:lineRule="auto"/>
        <w:jc w:val="center"/>
        <w:rPr>
          <w:rFonts w:ascii="Times New Roman" w:hAnsi="Times New Roman" w:cs="Times New Roman"/>
          <w:sz w:val="24"/>
          <w:szCs w:val="24"/>
        </w:rPr>
      </w:pPr>
    </w:p>
    <w:p w:rsidR="008C619A" w:rsidRPr="002646EE" w:rsidRDefault="008C619A" w:rsidP="00CB2BBE">
      <w:pPr>
        <w:autoSpaceDE w:val="0"/>
        <w:autoSpaceDN w:val="0"/>
        <w:adjustRightInd w:val="0"/>
        <w:spacing w:after="0" w:line="360" w:lineRule="auto"/>
        <w:jc w:val="both"/>
        <w:rPr>
          <w:rFonts w:ascii="Times New Roman" w:hAnsi="Times New Roman" w:cs="Times New Roman"/>
          <w:sz w:val="24"/>
          <w:szCs w:val="24"/>
        </w:rPr>
      </w:pPr>
    </w:p>
    <w:p w:rsidR="003E620D" w:rsidRDefault="008C619A" w:rsidP="00CB2BBE">
      <w:pPr>
        <w:autoSpaceDE w:val="0"/>
        <w:autoSpaceDN w:val="0"/>
        <w:adjustRightInd w:val="0"/>
        <w:spacing w:after="0" w:line="360" w:lineRule="auto"/>
        <w:jc w:val="both"/>
        <w:rPr>
          <w:rFonts w:ascii="Times New Roman" w:hAnsi="Times New Roman" w:cs="Times New Roman"/>
          <w:b/>
          <w:sz w:val="24"/>
          <w:szCs w:val="24"/>
        </w:rPr>
      </w:pPr>
      <w:r w:rsidRPr="002646EE">
        <w:rPr>
          <w:rFonts w:ascii="Times New Roman" w:hAnsi="Times New Roman" w:cs="Times New Roman"/>
          <w:sz w:val="24"/>
          <w:szCs w:val="24"/>
        </w:rPr>
        <w:lastRenderedPageBreak/>
        <w:t xml:space="preserve">      </w:t>
      </w:r>
      <w:r w:rsidR="00EA7093" w:rsidRPr="002646EE">
        <w:rPr>
          <w:rFonts w:ascii="Times New Roman" w:hAnsi="Times New Roman" w:cs="Times New Roman"/>
          <w:sz w:val="24"/>
          <w:szCs w:val="24"/>
        </w:rPr>
        <w:t xml:space="preserve">                 </w:t>
      </w:r>
      <w:r w:rsidRPr="002646EE">
        <w:rPr>
          <w:rFonts w:ascii="Times New Roman" w:hAnsi="Times New Roman" w:cs="Times New Roman"/>
          <w:sz w:val="24"/>
          <w:szCs w:val="24"/>
        </w:rPr>
        <w:t xml:space="preserve"> </w:t>
      </w:r>
      <w:r w:rsidR="00037342" w:rsidRPr="002646EE">
        <w:rPr>
          <w:rFonts w:ascii="Times New Roman" w:hAnsi="Times New Roman" w:cs="Times New Roman"/>
          <w:b/>
          <w:sz w:val="24"/>
          <w:szCs w:val="24"/>
        </w:rPr>
        <w:t xml:space="preserve">          </w:t>
      </w:r>
    </w:p>
    <w:p w:rsidR="003E620D" w:rsidRDefault="003E620D" w:rsidP="00CB2BBE">
      <w:pPr>
        <w:autoSpaceDE w:val="0"/>
        <w:autoSpaceDN w:val="0"/>
        <w:adjustRightInd w:val="0"/>
        <w:spacing w:after="0" w:line="360" w:lineRule="auto"/>
        <w:jc w:val="both"/>
        <w:rPr>
          <w:rFonts w:ascii="Times New Roman" w:hAnsi="Times New Roman" w:cs="Times New Roman"/>
          <w:b/>
          <w:sz w:val="24"/>
          <w:szCs w:val="24"/>
        </w:rPr>
      </w:pPr>
    </w:p>
    <w:p w:rsidR="003E620D" w:rsidRDefault="003E620D" w:rsidP="00CB2BBE">
      <w:pPr>
        <w:autoSpaceDE w:val="0"/>
        <w:autoSpaceDN w:val="0"/>
        <w:adjustRightInd w:val="0"/>
        <w:spacing w:after="0" w:line="360" w:lineRule="auto"/>
        <w:jc w:val="both"/>
        <w:rPr>
          <w:rFonts w:ascii="Times New Roman" w:hAnsi="Times New Roman" w:cs="Times New Roman"/>
          <w:b/>
          <w:sz w:val="24"/>
          <w:szCs w:val="24"/>
        </w:rPr>
      </w:pPr>
    </w:p>
    <w:p w:rsidR="003E620D" w:rsidRDefault="003E620D" w:rsidP="00CB2BBE">
      <w:pPr>
        <w:autoSpaceDE w:val="0"/>
        <w:autoSpaceDN w:val="0"/>
        <w:adjustRightInd w:val="0"/>
        <w:spacing w:after="0" w:line="360" w:lineRule="auto"/>
        <w:jc w:val="both"/>
        <w:rPr>
          <w:rFonts w:ascii="Times New Roman" w:hAnsi="Times New Roman" w:cs="Times New Roman"/>
          <w:b/>
          <w:sz w:val="24"/>
          <w:szCs w:val="24"/>
        </w:rPr>
      </w:pPr>
    </w:p>
    <w:p w:rsidR="003E620D" w:rsidRDefault="003E620D" w:rsidP="00CB2BBE">
      <w:pPr>
        <w:autoSpaceDE w:val="0"/>
        <w:autoSpaceDN w:val="0"/>
        <w:adjustRightInd w:val="0"/>
        <w:spacing w:after="0" w:line="360" w:lineRule="auto"/>
        <w:jc w:val="both"/>
        <w:rPr>
          <w:rFonts w:ascii="Times New Roman" w:hAnsi="Times New Roman" w:cs="Times New Roman"/>
          <w:b/>
          <w:sz w:val="24"/>
          <w:szCs w:val="24"/>
        </w:rPr>
      </w:pPr>
    </w:p>
    <w:p w:rsidR="003E620D" w:rsidRDefault="003E620D" w:rsidP="00CB2BBE">
      <w:pPr>
        <w:autoSpaceDE w:val="0"/>
        <w:autoSpaceDN w:val="0"/>
        <w:adjustRightInd w:val="0"/>
        <w:spacing w:after="0" w:line="360" w:lineRule="auto"/>
        <w:jc w:val="both"/>
        <w:rPr>
          <w:rFonts w:ascii="Times New Roman" w:hAnsi="Times New Roman" w:cs="Times New Roman"/>
          <w:b/>
          <w:sz w:val="24"/>
          <w:szCs w:val="24"/>
        </w:rPr>
      </w:pPr>
    </w:p>
    <w:p w:rsidR="00234B4C" w:rsidRDefault="003E620D" w:rsidP="00CB2BBE">
      <w:pPr>
        <w:autoSpaceDE w:val="0"/>
        <w:autoSpaceDN w:val="0"/>
        <w:adjustRightInd w:val="0"/>
        <w:spacing w:after="0" w:line="360" w:lineRule="auto"/>
        <w:jc w:val="both"/>
        <w:rPr>
          <w:rStyle w:val="Heading3Char"/>
          <w:rFonts w:ascii="Times New Roman" w:hAnsi="Times New Roman" w:cs="Times New Roman"/>
        </w:rPr>
      </w:pPr>
      <w:r>
        <w:rPr>
          <w:rFonts w:ascii="Times New Roman" w:hAnsi="Times New Roman" w:cs="Times New Roman"/>
          <w:b/>
          <w:sz w:val="24"/>
          <w:szCs w:val="24"/>
        </w:rPr>
        <w:t xml:space="preserve">                                         </w:t>
      </w:r>
      <w:r w:rsidR="00037342" w:rsidRPr="002646EE">
        <w:rPr>
          <w:rFonts w:ascii="Times New Roman" w:hAnsi="Times New Roman" w:cs="Times New Roman"/>
          <w:b/>
          <w:sz w:val="24"/>
          <w:szCs w:val="24"/>
        </w:rPr>
        <w:t xml:space="preserve">  </w:t>
      </w:r>
      <w:r w:rsidR="00EA7093" w:rsidRPr="002646EE">
        <w:rPr>
          <w:rFonts w:ascii="Times New Roman" w:hAnsi="Times New Roman" w:cs="Times New Roman"/>
          <w:b/>
          <w:sz w:val="24"/>
          <w:szCs w:val="24"/>
        </w:rPr>
        <w:t xml:space="preserve">TABLE 12. </w:t>
      </w:r>
      <w:r w:rsidR="008C619A" w:rsidRPr="002646EE">
        <w:rPr>
          <w:rFonts w:ascii="Times New Roman" w:hAnsi="Times New Roman" w:cs="Times New Roman"/>
          <w:sz w:val="24"/>
          <w:szCs w:val="24"/>
        </w:rPr>
        <w:t xml:space="preserve"> </w:t>
      </w:r>
      <w:r w:rsidR="00533022" w:rsidRPr="002646EE">
        <w:rPr>
          <w:rFonts w:ascii="Times New Roman" w:hAnsi="Times New Roman" w:cs="Times New Roman"/>
          <w:sz w:val="24"/>
          <w:szCs w:val="24"/>
        </w:rPr>
        <w:t xml:space="preserve"> </w:t>
      </w:r>
      <w:r w:rsidR="00E12CAA" w:rsidRPr="002646EE">
        <w:rPr>
          <w:rFonts w:ascii="Times New Roman" w:eastAsia="ArialMT" w:hAnsi="Times New Roman" w:cs="Times New Roman"/>
          <w:b/>
          <w:bCs/>
          <w:color w:val="000000" w:themeColor="text1"/>
          <w:sz w:val="24"/>
          <w:szCs w:val="24"/>
        </w:rPr>
        <w:t xml:space="preserve"> </w:t>
      </w:r>
      <w:r w:rsidR="000173E8" w:rsidRPr="002646EE">
        <w:rPr>
          <w:rStyle w:val="Heading3Char"/>
          <w:rFonts w:ascii="Times New Roman" w:hAnsi="Times New Roman" w:cs="Times New Roman"/>
        </w:rPr>
        <w:t>Ayurvedic pharmacological action of</w:t>
      </w:r>
      <w:r w:rsidR="008C619A" w:rsidRPr="002646EE">
        <w:rPr>
          <w:rStyle w:val="Heading3Char"/>
          <w:rFonts w:ascii="Times New Roman" w:hAnsi="Times New Roman" w:cs="Times New Roman"/>
        </w:rPr>
        <w:t xml:space="preserve"> ingredients of </w:t>
      </w:r>
      <w:r w:rsidR="000173E8" w:rsidRPr="002646EE">
        <w:rPr>
          <w:rStyle w:val="Heading3Char"/>
          <w:rFonts w:ascii="Times New Roman" w:hAnsi="Times New Roman" w:cs="Times New Roman"/>
        </w:rPr>
        <w:t xml:space="preserve"> NK as per sushrutha.</w:t>
      </w:r>
    </w:p>
    <w:p w:rsidR="006D4AF2" w:rsidRDefault="00234B4C" w:rsidP="00CB2BBE">
      <w:pPr>
        <w:autoSpaceDE w:val="0"/>
        <w:autoSpaceDN w:val="0"/>
        <w:adjustRightInd w:val="0"/>
        <w:spacing w:after="0" w:line="360" w:lineRule="auto"/>
        <w:jc w:val="both"/>
        <w:rPr>
          <w:rFonts w:ascii="Times New Roman" w:hAnsi="Times New Roman" w:cs="Times New Roman"/>
          <w:b/>
          <w:sz w:val="24"/>
          <w:szCs w:val="24"/>
        </w:rPr>
      </w:pPr>
      <w:r w:rsidRPr="00234B4C">
        <w:drawing>
          <wp:inline distT="0" distB="0" distL="0" distR="0">
            <wp:extent cx="8863330" cy="30506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3050648"/>
                    </a:xfrm>
                    <a:prstGeom prst="rect">
                      <a:avLst/>
                    </a:prstGeom>
                    <a:noFill/>
                    <a:ln>
                      <a:noFill/>
                    </a:ln>
                  </pic:spPr>
                </pic:pic>
              </a:graphicData>
            </a:graphic>
          </wp:inline>
        </w:drawing>
      </w:r>
    </w:p>
    <w:p w:rsidR="00234B4C" w:rsidRPr="002646EE" w:rsidRDefault="00234B4C" w:rsidP="00CB2BBE">
      <w:pPr>
        <w:autoSpaceDE w:val="0"/>
        <w:autoSpaceDN w:val="0"/>
        <w:adjustRightInd w:val="0"/>
        <w:spacing w:after="0" w:line="360" w:lineRule="auto"/>
        <w:jc w:val="both"/>
        <w:rPr>
          <w:rFonts w:ascii="Times New Roman" w:hAnsi="Times New Roman" w:cs="Times New Roman"/>
          <w:b/>
          <w:sz w:val="24"/>
          <w:szCs w:val="24"/>
        </w:rPr>
      </w:pPr>
    </w:p>
    <w:p w:rsidR="00416C55" w:rsidRPr="002646EE" w:rsidRDefault="00416C55" w:rsidP="00416C55">
      <w:pPr>
        <w:autoSpaceDE w:val="0"/>
        <w:autoSpaceDN w:val="0"/>
        <w:adjustRightInd w:val="0"/>
        <w:spacing w:after="0" w:line="360" w:lineRule="auto"/>
        <w:jc w:val="both"/>
        <w:rPr>
          <w:rFonts w:ascii="Times New Roman" w:hAnsi="Times New Roman" w:cs="Times New Roman"/>
          <w:b/>
          <w:sz w:val="24"/>
          <w:szCs w:val="24"/>
        </w:rPr>
      </w:pPr>
      <w:r w:rsidRPr="002646EE">
        <w:rPr>
          <w:rFonts w:ascii="Times New Roman" w:hAnsi="Times New Roman" w:cs="Times New Roman"/>
          <w:b/>
          <w:sz w:val="24"/>
          <w:szCs w:val="24"/>
        </w:rPr>
        <w:t>Nisha is found in 2 groups, Kataka in 1 group, lodra in 2 group, saptachakra in 1 group, usheera in 1 group, Amalaki in 5 groups</w:t>
      </w:r>
      <w:r w:rsidR="00E640DC" w:rsidRPr="002646EE">
        <w:rPr>
          <w:rFonts w:ascii="Times New Roman" w:hAnsi="Times New Roman" w:cs="Times New Roman"/>
          <w:b/>
          <w:sz w:val="24"/>
          <w:szCs w:val="24"/>
        </w:rPr>
        <w:t xml:space="preserve"> as per sushrutha</w:t>
      </w:r>
      <w:r w:rsidRPr="002646EE">
        <w:rPr>
          <w:rFonts w:ascii="Times New Roman" w:hAnsi="Times New Roman" w:cs="Times New Roman"/>
          <w:b/>
          <w:sz w:val="24"/>
          <w:szCs w:val="24"/>
        </w:rPr>
        <w:t>. Indications of each group is</w:t>
      </w:r>
      <w:r w:rsidR="00ED4D39">
        <w:rPr>
          <w:rFonts w:ascii="Times New Roman" w:hAnsi="Times New Roman" w:cs="Times New Roman"/>
          <w:b/>
          <w:sz w:val="24"/>
          <w:szCs w:val="24"/>
        </w:rPr>
        <w:t xml:space="preserve"> mentioned in table 12</w:t>
      </w:r>
      <w:r w:rsidR="000C3CE3" w:rsidRPr="002646EE">
        <w:rPr>
          <w:rFonts w:ascii="Times New Roman" w:hAnsi="Times New Roman" w:cs="Times New Roman"/>
          <w:b/>
          <w:sz w:val="24"/>
          <w:szCs w:val="24"/>
        </w:rPr>
        <w:t>.</w:t>
      </w:r>
    </w:p>
    <w:p w:rsidR="000173E8" w:rsidRPr="002646EE" w:rsidRDefault="000173E8" w:rsidP="00CB2BBE">
      <w:pPr>
        <w:autoSpaceDE w:val="0"/>
        <w:autoSpaceDN w:val="0"/>
        <w:adjustRightInd w:val="0"/>
        <w:spacing w:after="0" w:line="360" w:lineRule="auto"/>
        <w:jc w:val="both"/>
        <w:rPr>
          <w:rFonts w:ascii="Times New Roman" w:hAnsi="Times New Roman" w:cs="Times New Roman"/>
          <w:b/>
          <w:sz w:val="24"/>
          <w:szCs w:val="24"/>
        </w:rPr>
      </w:pPr>
    </w:p>
    <w:p w:rsidR="007F4C0C" w:rsidRPr="002646EE" w:rsidRDefault="007F4C0C" w:rsidP="00CB2BBE">
      <w:pPr>
        <w:autoSpaceDE w:val="0"/>
        <w:autoSpaceDN w:val="0"/>
        <w:adjustRightInd w:val="0"/>
        <w:spacing w:after="0" w:line="360" w:lineRule="auto"/>
        <w:jc w:val="both"/>
        <w:rPr>
          <w:rFonts w:ascii="Times New Roman" w:hAnsi="Times New Roman" w:cs="Times New Roman"/>
          <w:b/>
          <w:sz w:val="24"/>
          <w:szCs w:val="24"/>
        </w:rPr>
      </w:pPr>
    </w:p>
    <w:p w:rsidR="007F4C0C" w:rsidRPr="002646EE" w:rsidRDefault="00BA7806" w:rsidP="000228A4">
      <w:pPr>
        <w:autoSpaceDE w:val="0"/>
        <w:autoSpaceDN w:val="0"/>
        <w:adjustRightInd w:val="0"/>
        <w:spacing w:after="0" w:line="360" w:lineRule="auto"/>
        <w:jc w:val="both"/>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 xml:space="preserve">                        </w:t>
      </w:r>
      <w:r w:rsidR="00E12CAA" w:rsidRPr="002646EE">
        <w:rPr>
          <w:rFonts w:ascii="Times New Roman" w:eastAsia="ArialMT" w:hAnsi="Times New Roman" w:cs="Times New Roman"/>
          <w:b/>
          <w:bCs/>
          <w:color w:val="000000" w:themeColor="text1"/>
          <w:sz w:val="24"/>
          <w:szCs w:val="24"/>
        </w:rPr>
        <w:t xml:space="preserve">                            </w:t>
      </w:r>
    </w:p>
    <w:p w:rsidR="001E1879" w:rsidRDefault="00ED4D39" w:rsidP="000228A4">
      <w:pPr>
        <w:autoSpaceDE w:val="0"/>
        <w:autoSpaceDN w:val="0"/>
        <w:adjustRightInd w:val="0"/>
        <w:spacing w:after="0" w:line="360" w:lineRule="auto"/>
        <w:jc w:val="both"/>
        <w:rPr>
          <w:rFonts w:ascii="Times New Roman" w:eastAsia="ArialMT" w:hAnsi="Times New Roman" w:cs="Times New Roman"/>
          <w:b/>
          <w:bCs/>
          <w:color w:val="000000" w:themeColor="text1"/>
          <w:sz w:val="24"/>
          <w:szCs w:val="24"/>
        </w:rPr>
      </w:pPr>
      <w:r w:rsidRPr="00ED4D39">
        <w:drawing>
          <wp:anchor distT="0" distB="0" distL="114300" distR="114300" simplePos="0" relativeHeight="251684864" behindDoc="0" locked="0" layoutInCell="1" allowOverlap="1">
            <wp:simplePos x="0" y="0"/>
            <wp:positionH relativeFrom="column">
              <wp:posOffset>-804545</wp:posOffset>
            </wp:positionH>
            <wp:positionV relativeFrom="paragraph">
              <wp:posOffset>325755</wp:posOffset>
            </wp:positionV>
            <wp:extent cx="10559415" cy="2125980"/>
            <wp:effectExtent l="0" t="0" r="0"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59415" cy="2125980"/>
                    </a:xfrm>
                    <a:prstGeom prst="rect">
                      <a:avLst/>
                    </a:prstGeom>
                    <a:noFill/>
                    <a:ln>
                      <a:noFill/>
                    </a:ln>
                  </pic:spPr>
                </pic:pic>
              </a:graphicData>
            </a:graphic>
            <wp14:sizeRelV relativeFrom="margin">
              <wp14:pctHeight>0</wp14:pctHeight>
            </wp14:sizeRelV>
          </wp:anchor>
        </w:drawing>
      </w:r>
      <w:r w:rsidR="00E12CAA" w:rsidRPr="002646EE">
        <w:rPr>
          <w:rFonts w:ascii="Times New Roman" w:eastAsia="ArialMT" w:hAnsi="Times New Roman" w:cs="Times New Roman"/>
          <w:b/>
          <w:bCs/>
          <w:color w:val="000000" w:themeColor="text1"/>
          <w:sz w:val="24"/>
          <w:szCs w:val="24"/>
        </w:rPr>
        <w:t xml:space="preserve"> </w:t>
      </w:r>
      <w:r w:rsidR="002D6B34" w:rsidRPr="002646EE">
        <w:rPr>
          <w:rFonts w:ascii="Times New Roman" w:eastAsia="ArialMT" w:hAnsi="Times New Roman" w:cs="Times New Roman"/>
          <w:b/>
          <w:bCs/>
          <w:color w:val="000000" w:themeColor="text1"/>
          <w:sz w:val="24"/>
          <w:szCs w:val="24"/>
        </w:rPr>
        <w:t xml:space="preserve">                                          </w:t>
      </w:r>
      <w:r w:rsidR="00E12CAA" w:rsidRPr="002646EE">
        <w:rPr>
          <w:rFonts w:ascii="Times New Roman" w:eastAsia="ArialMT" w:hAnsi="Times New Roman" w:cs="Times New Roman"/>
          <w:b/>
          <w:bCs/>
          <w:color w:val="000000" w:themeColor="text1"/>
          <w:sz w:val="24"/>
          <w:szCs w:val="24"/>
        </w:rPr>
        <w:t xml:space="preserve">  </w:t>
      </w:r>
      <w:r w:rsidR="00EA7093" w:rsidRPr="002646EE">
        <w:rPr>
          <w:rFonts w:ascii="Times New Roman" w:eastAsia="ArialMT" w:hAnsi="Times New Roman" w:cs="Times New Roman"/>
          <w:b/>
          <w:sz w:val="24"/>
          <w:szCs w:val="24"/>
          <w:lang w:eastAsia="en-IN"/>
        </w:rPr>
        <w:t>TABLE 13.</w:t>
      </w:r>
      <w:r w:rsidR="000228A4" w:rsidRPr="002646EE">
        <w:rPr>
          <w:rStyle w:val="Heading3Char"/>
          <w:rFonts w:ascii="Times New Roman" w:hAnsi="Times New Roman" w:cs="Times New Roman"/>
        </w:rPr>
        <w:t>Ayurvedic pharmacological action of</w:t>
      </w:r>
      <w:r w:rsidR="008C619A" w:rsidRPr="002646EE">
        <w:rPr>
          <w:rStyle w:val="Heading3Char"/>
          <w:rFonts w:ascii="Times New Roman" w:hAnsi="Times New Roman" w:cs="Times New Roman"/>
        </w:rPr>
        <w:t xml:space="preserve"> ingredients </w:t>
      </w:r>
      <w:r w:rsidR="000228A4" w:rsidRPr="002646EE">
        <w:rPr>
          <w:rStyle w:val="Heading3Char"/>
          <w:rFonts w:ascii="Times New Roman" w:hAnsi="Times New Roman" w:cs="Times New Roman"/>
        </w:rPr>
        <w:t xml:space="preserve"> NK as per</w:t>
      </w:r>
      <w:r w:rsidR="00E12CAA" w:rsidRPr="002646EE">
        <w:rPr>
          <w:rStyle w:val="Heading3Char"/>
          <w:rFonts w:ascii="Times New Roman" w:hAnsi="Times New Roman" w:cs="Times New Roman"/>
        </w:rPr>
        <w:t xml:space="preserve"> charaka</w:t>
      </w:r>
    </w:p>
    <w:p w:rsidR="00234B4C" w:rsidRDefault="00234B4C" w:rsidP="000228A4">
      <w:pPr>
        <w:autoSpaceDE w:val="0"/>
        <w:autoSpaceDN w:val="0"/>
        <w:adjustRightInd w:val="0"/>
        <w:spacing w:after="0" w:line="360" w:lineRule="auto"/>
        <w:jc w:val="both"/>
        <w:rPr>
          <w:rFonts w:ascii="Times New Roman" w:eastAsia="ArialMT" w:hAnsi="Times New Roman" w:cs="Times New Roman"/>
          <w:b/>
          <w:bCs/>
          <w:color w:val="000000" w:themeColor="text1"/>
          <w:sz w:val="24"/>
          <w:szCs w:val="24"/>
        </w:rPr>
      </w:pPr>
    </w:p>
    <w:p w:rsidR="00E640DC" w:rsidRPr="002646EE" w:rsidRDefault="00416C55" w:rsidP="00E640DC">
      <w:pPr>
        <w:autoSpaceDE w:val="0"/>
        <w:autoSpaceDN w:val="0"/>
        <w:adjustRightInd w:val="0"/>
        <w:spacing w:after="0" w:line="360" w:lineRule="auto"/>
        <w:jc w:val="both"/>
        <w:rPr>
          <w:rFonts w:ascii="Times New Roman" w:hAnsi="Times New Roman" w:cs="Times New Roman"/>
          <w:b/>
          <w:sz w:val="24"/>
          <w:szCs w:val="24"/>
        </w:rPr>
      </w:pPr>
      <w:r w:rsidRPr="002646EE">
        <w:rPr>
          <w:rFonts w:ascii="Times New Roman" w:hAnsi="Times New Roman" w:cs="Times New Roman"/>
          <w:b/>
          <w:sz w:val="24"/>
          <w:szCs w:val="24"/>
        </w:rPr>
        <w:t>Nisha is found in 3 groups, Kataka</w:t>
      </w:r>
      <w:r w:rsidR="00E640DC" w:rsidRPr="002646EE">
        <w:rPr>
          <w:rFonts w:ascii="Times New Roman" w:hAnsi="Times New Roman" w:cs="Times New Roman"/>
          <w:b/>
          <w:sz w:val="24"/>
          <w:szCs w:val="24"/>
        </w:rPr>
        <w:t>, Gorakshaganja</w:t>
      </w:r>
      <w:r w:rsidRPr="002646EE">
        <w:rPr>
          <w:rFonts w:ascii="Times New Roman" w:hAnsi="Times New Roman" w:cs="Times New Roman"/>
          <w:b/>
          <w:sz w:val="24"/>
          <w:szCs w:val="24"/>
        </w:rPr>
        <w:t xml:space="preserve"> is found in 1 group, Lodra is found in 2 groups, </w:t>
      </w:r>
      <w:r w:rsidR="00E640DC" w:rsidRPr="002646EE">
        <w:rPr>
          <w:rFonts w:ascii="Times New Roman" w:hAnsi="Times New Roman" w:cs="Times New Roman"/>
          <w:b/>
          <w:sz w:val="24"/>
          <w:szCs w:val="24"/>
        </w:rPr>
        <w:t>Amalaki is found in 6 groups, Usheera in 4 groups as per charaka. Indications of each group is</w:t>
      </w:r>
      <w:r w:rsidR="00ED4D39">
        <w:rPr>
          <w:rFonts w:ascii="Times New Roman" w:hAnsi="Times New Roman" w:cs="Times New Roman"/>
          <w:b/>
          <w:sz w:val="24"/>
          <w:szCs w:val="24"/>
        </w:rPr>
        <w:t xml:space="preserve"> mentioned in table 13</w:t>
      </w:r>
      <w:r w:rsidR="000C3CE3" w:rsidRPr="002646EE">
        <w:rPr>
          <w:rFonts w:ascii="Times New Roman" w:hAnsi="Times New Roman" w:cs="Times New Roman"/>
          <w:b/>
          <w:sz w:val="24"/>
          <w:szCs w:val="24"/>
        </w:rPr>
        <w:t>.</w:t>
      </w:r>
    </w:p>
    <w:p w:rsidR="001E1879" w:rsidRPr="002646EE" w:rsidRDefault="001E1879" w:rsidP="000228A4">
      <w:pPr>
        <w:autoSpaceDE w:val="0"/>
        <w:autoSpaceDN w:val="0"/>
        <w:adjustRightInd w:val="0"/>
        <w:spacing w:after="0" w:line="360" w:lineRule="auto"/>
        <w:jc w:val="both"/>
        <w:rPr>
          <w:rFonts w:ascii="Times New Roman" w:hAnsi="Times New Roman" w:cs="Times New Roman"/>
          <w:b/>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b/>
          <w:sz w:val="24"/>
          <w:szCs w:val="24"/>
          <w:lang w:eastAsia="en-IN"/>
        </w:rPr>
      </w:pPr>
      <w:r w:rsidRPr="002646EE">
        <w:rPr>
          <w:rStyle w:val="NormalWebChar"/>
          <w:rFonts w:eastAsia="ArialMT"/>
          <w:b/>
        </w:rPr>
        <w:t xml:space="preserve">                    </w:t>
      </w:r>
    </w:p>
    <w:p w:rsidR="00ED4D39" w:rsidRDefault="00E640DC"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r w:rsidRPr="002646EE">
        <w:rPr>
          <w:rStyle w:val="NormalWebChar"/>
          <w:rFonts w:eastAsia="ArialMT"/>
        </w:rPr>
        <w:t xml:space="preserve">                       </w:t>
      </w:r>
      <w:r w:rsidR="00533022" w:rsidRPr="002646EE">
        <w:rPr>
          <w:rStyle w:val="NormalWebChar"/>
          <w:rFonts w:eastAsia="ArialMT"/>
        </w:rPr>
        <w:t xml:space="preserve">   </w:t>
      </w: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D4D39" w:rsidRDefault="00ED4D39" w:rsidP="002807C6">
      <w:pPr>
        <w:autoSpaceDE w:val="0"/>
        <w:autoSpaceDN w:val="0"/>
        <w:adjustRightInd w:val="0"/>
        <w:spacing w:after="0" w:line="240" w:lineRule="auto"/>
        <w:rPr>
          <w:rFonts w:ascii="Times New Roman" w:eastAsia="ArialMT" w:hAnsi="Times New Roman" w:cs="Times New Roman"/>
          <w:b/>
          <w:bCs/>
          <w:color w:val="000000" w:themeColor="text1"/>
          <w:sz w:val="24"/>
          <w:szCs w:val="24"/>
        </w:rPr>
      </w:pPr>
    </w:p>
    <w:p w:rsidR="00E12CAA" w:rsidRDefault="003B5822" w:rsidP="003B5822">
      <w:pPr>
        <w:autoSpaceDE w:val="0"/>
        <w:autoSpaceDN w:val="0"/>
        <w:adjustRightInd w:val="0"/>
        <w:spacing w:after="0" w:line="240" w:lineRule="auto"/>
        <w:rPr>
          <w:rFonts w:ascii="Times New Roman" w:eastAsia="ArialMT" w:hAnsi="Times New Roman" w:cs="Times New Roman"/>
          <w:sz w:val="24"/>
          <w:szCs w:val="24"/>
          <w:lang w:eastAsia="en-IN"/>
        </w:rPr>
      </w:pPr>
      <w:r>
        <w:rPr>
          <w:rFonts w:ascii="Times New Roman" w:eastAsia="ArialMT" w:hAnsi="Times New Roman" w:cs="Times New Roman"/>
          <w:b/>
          <w:bCs/>
          <w:color w:val="000000" w:themeColor="text1"/>
          <w:sz w:val="24"/>
          <w:szCs w:val="24"/>
        </w:rPr>
        <w:t xml:space="preserve">                                      </w:t>
      </w:r>
      <w:r w:rsidR="00EA7093" w:rsidRPr="002646EE">
        <w:rPr>
          <w:rFonts w:ascii="Times New Roman" w:eastAsia="ArialMT" w:hAnsi="Times New Roman" w:cs="Times New Roman"/>
          <w:b/>
          <w:bCs/>
          <w:color w:val="000000" w:themeColor="text1"/>
          <w:sz w:val="24"/>
          <w:szCs w:val="24"/>
        </w:rPr>
        <w:t xml:space="preserve">TABLE 14.  </w:t>
      </w:r>
      <w:r w:rsidR="00E12CAA" w:rsidRPr="002646EE">
        <w:rPr>
          <w:rFonts w:ascii="Times New Roman" w:eastAsia="ArialMT" w:hAnsi="Times New Roman" w:cs="Times New Roman"/>
          <w:b/>
          <w:bCs/>
          <w:color w:val="000000" w:themeColor="text1"/>
          <w:sz w:val="24"/>
          <w:szCs w:val="24"/>
        </w:rPr>
        <w:t xml:space="preserve"> </w:t>
      </w:r>
      <w:r w:rsidR="00E12CAA" w:rsidRPr="002646EE">
        <w:rPr>
          <w:rStyle w:val="Heading3Char"/>
          <w:rFonts w:ascii="Times New Roman" w:hAnsi="Times New Roman" w:cs="Times New Roman"/>
        </w:rPr>
        <w:t>Ayurvedic pharmacological action of</w:t>
      </w:r>
      <w:r w:rsidR="00983C0D" w:rsidRPr="002646EE">
        <w:rPr>
          <w:rStyle w:val="Heading3Char"/>
          <w:rFonts w:ascii="Times New Roman" w:hAnsi="Times New Roman" w:cs="Times New Roman"/>
        </w:rPr>
        <w:t xml:space="preserve"> ingredients of </w:t>
      </w:r>
      <w:r w:rsidR="00E12CAA" w:rsidRPr="002646EE">
        <w:rPr>
          <w:rStyle w:val="Heading3Char"/>
          <w:rFonts w:ascii="Times New Roman" w:hAnsi="Times New Roman" w:cs="Times New Roman"/>
        </w:rPr>
        <w:t xml:space="preserve"> VA as per Ashtangahrudayam.</w:t>
      </w:r>
    </w:p>
    <w:p w:rsidR="00ED4D39" w:rsidRPr="002646EE" w:rsidRDefault="00ED4D39" w:rsidP="002807C6">
      <w:pPr>
        <w:autoSpaceDE w:val="0"/>
        <w:autoSpaceDN w:val="0"/>
        <w:adjustRightInd w:val="0"/>
        <w:spacing w:after="0" w:line="240" w:lineRule="auto"/>
        <w:rPr>
          <w:rFonts w:ascii="Times New Roman" w:eastAsia="ArialMT" w:hAnsi="Times New Roman" w:cs="Times New Roman"/>
          <w:sz w:val="24"/>
          <w:szCs w:val="24"/>
          <w:lang w:eastAsia="en-IN"/>
        </w:rPr>
      </w:pPr>
      <w:r w:rsidRPr="00ED4D39">
        <w:drawing>
          <wp:anchor distT="0" distB="0" distL="114300" distR="114300" simplePos="0" relativeHeight="251685888" behindDoc="0" locked="0" layoutInCell="1" allowOverlap="1">
            <wp:simplePos x="0" y="0"/>
            <wp:positionH relativeFrom="column">
              <wp:posOffset>-706755</wp:posOffset>
            </wp:positionH>
            <wp:positionV relativeFrom="paragraph">
              <wp:posOffset>177800</wp:posOffset>
            </wp:positionV>
            <wp:extent cx="10402570" cy="38512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02570" cy="385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AA" w:rsidRPr="002646EE" w:rsidRDefault="00E12CAA" w:rsidP="00E12CAA">
      <w:pPr>
        <w:rPr>
          <w:rFonts w:ascii="Times New Roman" w:eastAsia="ArialMT" w:hAnsi="Times New Roman" w:cs="Times New Roman"/>
          <w:b/>
          <w:color w:val="000000" w:themeColor="text1"/>
          <w:sz w:val="24"/>
          <w:szCs w:val="24"/>
        </w:rPr>
      </w:pPr>
    </w:p>
    <w:p w:rsidR="00533022" w:rsidRPr="002646EE" w:rsidRDefault="00E640DC" w:rsidP="00A359D9">
      <w:pPr>
        <w:pStyle w:val="Bibliography"/>
        <w:jc w:val="both"/>
        <w:rPr>
          <w:rFonts w:ascii="Times New Roman" w:eastAsia="ArialMT" w:hAnsi="Times New Roman" w:cs="Times New Roman"/>
          <w:b/>
          <w:bCs/>
          <w:color w:val="000000" w:themeColor="text1"/>
          <w:sz w:val="24"/>
          <w:szCs w:val="24"/>
        </w:rPr>
        <w:sectPr w:rsidR="00533022" w:rsidRPr="002646EE" w:rsidSect="00533022">
          <w:pgSz w:w="16838" w:h="11906" w:orient="landscape"/>
          <w:pgMar w:top="1440" w:right="1440" w:bottom="1440" w:left="1440" w:header="708" w:footer="708" w:gutter="0"/>
          <w:cols w:space="708"/>
          <w:docGrid w:linePitch="360"/>
        </w:sectPr>
      </w:pPr>
      <w:r w:rsidRPr="002646EE">
        <w:rPr>
          <w:rFonts w:ascii="Times New Roman" w:eastAsia="ArialMT" w:hAnsi="Times New Roman" w:cs="Times New Roman"/>
          <w:b/>
          <w:color w:val="000000" w:themeColor="text1"/>
          <w:sz w:val="24"/>
          <w:szCs w:val="24"/>
        </w:rPr>
        <w:t xml:space="preserve">Varuna,bilwa ,brihati , Sahachara, shatavari, Agnimantha, shigru, darbha,bhallataka is found in 1 group, Chitraka , Murva , </w:t>
      </w:r>
      <w:r w:rsidRPr="002646EE">
        <w:rPr>
          <w:rFonts w:ascii="Times New Roman" w:eastAsia="ArialMT" w:hAnsi="Times New Roman" w:cs="Times New Roman"/>
          <w:b/>
          <w:bCs/>
          <w:color w:val="000000" w:themeColor="text1"/>
          <w:sz w:val="24"/>
          <w:szCs w:val="24"/>
        </w:rPr>
        <w:t>Karanja, chribilwa in 4 groups</w:t>
      </w:r>
      <w:r w:rsidR="00EA7093" w:rsidRPr="002646EE">
        <w:rPr>
          <w:rFonts w:ascii="Times New Roman" w:eastAsia="ArialMT" w:hAnsi="Times New Roman" w:cs="Times New Roman"/>
          <w:b/>
          <w:bCs/>
          <w:color w:val="000000" w:themeColor="text1"/>
          <w:sz w:val="24"/>
          <w:szCs w:val="24"/>
        </w:rPr>
        <w:t xml:space="preserve"> </w:t>
      </w:r>
      <w:r w:rsidRPr="002646EE">
        <w:rPr>
          <w:rFonts w:ascii="Times New Roman" w:eastAsia="ArialMT" w:hAnsi="Times New Roman" w:cs="Times New Roman"/>
          <w:b/>
          <w:bCs/>
          <w:color w:val="000000" w:themeColor="text1"/>
          <w:sz w:val="24"/>
          <w:szCs w:val="24"/>
        </w:rPr>
        <w:t xml:space="preserve">, Haritaki in 5 groups as per Ashtangahrudayam. </w:t>
      </w:r>
      <w:r w:rsidRPr="002646EE">
        <w:rPr>
          <w:rFonts w:ascii="Times New Roman" w:hAnsi="Times New Roman" w:cs="Times New Roman"/>
          <w:b/>
          <w:sz w:val="24"/>
          <w:szCs w:val="24"/>
        </w:rPr>
        <w:t xml:space="preserve">Indications of each group is mentioned in </w:t>
      </w:r>
      <w:r w:rsidR="00ED4D39">
        <w:rPr>
          <w:rFonts w:ascii="Times New Roman" w:hAnsi="Times New Roman" w:cs="Times New Roman"/>
          <w:b/>
          <w:sz w:val="24"/>
          <w:szCs w:val="24"/>
        </w:rPr>
        <w:t>table 14</w:t>
      </w:r>
      <w:r w:rsidR="000C3CE3" w:rsidRPr="002646EE">
        <w:rPr>
          <w:rFonts w:ascii="Times New Roman" w:hAnsi="Times New Roman" w:cs="Times New Roman"/>
          <w:b/>
          <w:sz w:val="24"/>
          <w:szCs w:val="24"/>
        </w:rPr>
        <w:t>.</w:t>
      </w:r>
      <w:r w:rsidR="00EA7093" w:rsidRPr="002646EE">
        <w:rPr>
          <w:rFonts w:ascii="Times New Roman" w:eastAsia="ArialMT" w:hAnsi="Times New Roman" w:cs="Times New Roman"/>
          <w:b/>
          <w:bCs/>
          <w:color w:val="000000" w:themeColor="text1"/>
          <w:sz w:val="24"/>
          <w:szCs w:val="24"/>
        </w:rPr>
        <w:t xml:space="preserve">            </w:t>
      </w:r>
    </w:p>
    <w:p w:rsidR="00533022" w:rsidRDefault="00ED4D39" w:rsidP="00EA7093">
      <w:pPr>
        <w:rPr>
          <w:rFonts w:ascii="Times New Roman" w:eastAsia="ArialMT" w:hAnsi="Times New Roman" w:cs="Times New Roman"/>
          <w:b/>
          <w:bCs/>
          <w:color w:val="000000" w:themeColor="text1"/>
          <w:sz w:val="24"/>
          <w:szCs w:val="24"/>
        </w:rPr>
      </w:pPr>
      <w:r w:rsidRPr="00ED4D39">
        <w:lastRenderedPageBreak/>
        <w:drawing>
          <wp:anchor distT="0" distB="0" distL="114300" distR="114300" simplePos="0" relativeHeight="251686912" behindDoc="0" locked="0" layoutInCell="1" allowOverlap="1">
            <wp:simplePos x="0" y="0"/>
            <wp:positionH relativeFrom="column">
              <wp:posOffset>-859155</wp:posOffset>
            </wp:positionH>
            <wp:positionV relativeFrom="paragraph">
              <wp:posOffset>290830</wp:posOffset>
            </wp:positionV>
            <wp:extent cx="10583545" cy="3886200"/>
            <wp:effectExtent l="0" t="0" r="825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8354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FE2" w:rsidRPr="002646EE">
        <w:rPr>
          <w:rFonts w:ascii="Times New Roman" w:eastAsia="ArialMT" w:hAnsi="Times New Roman" w:cs="Times New Roman"/>
          <w:b/>
          <w:bCs/>
          <w:color w:val="000000" w:themeColor="text1"/>
          <w:sz w:val="24"/>
          <w:szCs w:val="24"/>
        </w:rPr>
        <w:t xml:space="preserve">                                   </w:t>
      </w:r>
      <w:r w:rsidR="004A0BCE" w:rsidRPr="002646EE">
        <w:rPr>
          <w:rFonts w:ascii="Times New Roman" w:eastAsia="ArialMT" w:hAnsi="Times New Roman" w:cs="Times New Roman"/>
          <w:b/>
          <w:bCs/>
          <w:color w:val="000000" w:themeColor="text1"/>
          <w:sz w:val="24"/>
          <w:szCs w:val="24"/>
        </w:rPr>
        <w:t xml:space="preserve"> </w:t>
      </w:r>
      <w:r w:rsidR="00EA7093" w:rsidRPr="002646EE">
        <w:rPr>
          <w:rFonts w:ascii="Times New Roman" w:eastAsia="ArialMT" w:hAnsi="Times New Roman" w:cs="Times New Roman"/>
          <w:b/>
          <w:bCs/>
          <w:color w:val="000000" w:themeColor="text1"/>
          <w:sz w:val="24"/>
          <w:szCs w:val="24"/>
        </w:rPr>
        <w:t xml:space="preserve">TABLE 15 . </w:t>
      </w:r>
      <w:r w:rsidR="00533022" w:rsidRPr="002646EE">
        <w:rPr>
          <w:rStyle w:val="Heading3Char"/>
          <w:rFonts w:ascii="Times New Roman" w:hAnsi="Times New Roman" w:cs="Times New Roman"/>
        </w:rPr>
        <w:t>Ayurvedic pharmacological action of</w:t>
      </w:r>
      <w:r w:rsidR="00983C0D" w:rsidRPr="002646EE">
        <w:rPr>
          <w:rStyle w:val="Heading3Char"/>
          <w:rFonts w:ascii="Times New Roman" w:hAnsi="Times New Roman" w:cs="Times New Roman"/>
        </w:rPr>
        <w:t xml:space="preserve"> ingredients of</w:t>
      </w:r>
      <w:r w:rsidR="00533022" w:rsidRPr="002646EE">
        <w:rPr>
          <w:rStyle w:val="Heading3Char"/>
          <w:rFonts w:ascii="Times New Roman" w:hAnsi="Times New Roman" w:cs="Times New Roman"/>
        </w:rPr>
        <w:t xml:space="preserve"> VA as per Sushrutha</w:t>
      </w:r>
    </w:p>
    <w:p w:rsidR="00ED4D39" w:rsidRDefault="00ED4D39" w:rsidP="00EA7093">
      <w:pPr>
        <w:rPr>
          <w:rFonts w:ascii="Times New Roman" w:eastAsia="ArialMT" w:hAnsi="Times New Roman" w:cs="Times New Roman"/>
          <w:b/>
          <w:bCs/>
          <w:color w:val="000000" w:themeColor="text1"/>
          <w:sz w:val="24"/>
          <w:szCs w:val="24"/>
        </w:rPr>
      </w:pPr>
    </w:p>
    <w:p w:rsidR="00EA7093" w:rsidRPr="002646EE" w:rsidRDefault="00D43FE2" w:rsidP="00300E0D">
      <w:pPr>
        <w:jc w:val="center"/>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 xml:space="preserve">Varuna, Bilwa, Brihati, Shigru,  in 1 group, Sahacahara, Shatavari, Karanja, Chiribilwa, Darbha in 2 group, Murva, Agnimantha, Bhallataka in 3 groups, Haritaki in 6 groups as per sushrutha. </w:t>
      </w:r>
      <w:r w:rsidRPr="002646EE">
        <w:rPr>
          <w:rFonts w:ascii="Times New Roman" w:hAnsi="Times New Roman" w:cs="Times New Roman"/>
          <w:b/>
          <w:bCs/>
          <w:sz w:val="24"/>
          <w:szCs w:val="24"/>
        </w:rPr>
        <w:t xml:space="preserve">Indications of each group is mentioned in </w:t>
      </w:r>
      <w:r w:rsidR="00ED4D39">
        <w:rPr>
          <w:rFonts w:ascii="Times New Roman" w:hAnsi="Times New Roman" w:cs="Times New Roman"/>
          <w:b/>
          <w:bCs/>
          <w:sz w:val="24"/>
          <w:szCs w:val="24"/>
        </w:rPr>
        <w:t>table 15</w:t>
      </w:r>
      <w:r w:rsidR="000C3CE3" w:rsidRPr="002646EE">
        <w:rPr>
          <w:rFonts w:ascii="Times New Roman" w:hAnsi="Times New Roman" w:cs="Times New Roman"/>
          <w:b/>
          <w:bCs/>
          <w:sz w:val="24"/>
          <w:szCs w:val="24"/>
        </w:rPr>
        <w:t>.</w:t>
      </w:r>
    </w:p>
    <w:p w:rsidR="00A56B85" w:rsidRPr="002646EE" w:rsidRDefault="00B90FAF" w:rsidP="00D43FE2">
      <w:pPr>
        <w:jc w:val="both"/>
        <w:rPr>
          <w:rFonts w:ascii="Times New Roman" w:eastAsia="ArialMT" w:hAnsi="Times New Roman" w:cs="Times New Roman"/>
          <w:b/>
          <w:color w:val="000000" w:themeColor="text1"/>
          <w:sz w:val="24"/>
          <w:szCs w:val="24"/>
        </w:rPr>
      </w:pPr>
      <w:r w:rsidRPr="002646EE">
        <w:rPr>
          <w:rFonts w:ascii="Times New Roman" w:eastAsia="ArialMT" w:hAnsi="Times New Roman" w:cs="Times New Roman"/>
          <w:b/>
          <w:color w:val="000000" w:themeColor="text1"/>
          <w:sz w:val="24"/>
          <w:szCs w:val="24"/>
        </w:rPr>
        <w:t xml:space="preserve">                                                    </w:t>
      </w:r>
    </w:p>
    <w:p w:rsidR="00A56B85" w:rsidRPr="002646EE" w:rsidRDefault="00A56B85" w:rsidP="00CB2BBE">
      <w:pPr>
        <w:rPr>
          <w:rFonts w:ascii="Times New Roman" w:eastAsia="ArialMT" w:hAnsi="Times New Roman" w:cs="Times New Roman"/>
          <w:b/>
          <w:bCs/>
          <w:color w:val="000000" w:themeColor="text1"/>
          <w:sz w:val="24"/>
          <w:szCs w:val="24"/>
        </w:rPr>
      </w:pPr>
    </w:p>
    <w:p w:rsidR="00A56B85" w:rsidRPr="002646EE" w:rsidRDefault="00A56B85" w:rsidP="00CB2BBE">
      <w:pPr>
        <w:rPr>
          <w:rFonts w:ascii="Times New Roman" w:eastAsia="ArialMT" w:hAnsi="Times New Roman" w:cs="Times New Roman"/>
          <w:b/>
          <w:bCs/>
          <w:color w:val="000000" w:themeColor="text1"/>
          <w:sz w:val="24"/>
          <w:szCs w:val="24"/>
        </w:rPr>
      </w:pPr>
    </w:p>
    <w:p w:rsidR="001D19A9" w:rsidRDefault="00300E0D" w:rsidP="00CB2BBE">
      <w:pPr>
        <w:rPr>
          <w:rFonts w:ascii="Times New Roman" w:eastAsia="ArialMT" w:hAnsi="Times New Roman" w:cs="Times New Roman"/>
          <w:b/>
          <w:bCs/>
          <w:color w:val="000000" w:themeColor="text1"/>
          <w:sz w:val="24"/>
          <w:szCs w:val="24"/>
        </w:rPr>
      </w:pPr>
      <w:r w:rsidRPr="00300E0D">
        <w:lastRenderedPageBreak/>
        <w:drawing>
          <wp:anchor distT="0" distB="0" distL="114300" distR="114300" simplePos="0" relativeHeight="251687936" behindDoc="0" locked="0" layoutInCell="1" allowOverlap="1">
            <wp:simplePos x="0" y="0"/>
            <wp:positionH relativeFrom="column">
              <wp:posOffset>-831850</wp:posOffset>
            </wp:positionH>
            <wp:positionV relativeFrom="paragraph">
              <wp:posOffset>207645</wp:posOffset>
            </wp:positionV>
            <wp:extent cx="10534650" cy="3650615"/>
            <wp:effectExtent l="0" t="0" r="0" b="69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34650" cy="365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AF" w:rsidRPr="002646EE">
        <w:rPr>
          <w:rFonts w:ascii="Times New Roman" w:eastAsia="ArialMT" w:hAnsi="Times New Roman" w:cs="Times New Roman"/>
          <w:b/>
          <w:bCs/>
          <w:color w:val="000000" w:themeColor="text1"/>
          <w:sz w:val="24"/>
          <w:szCs w:val="24"/>
        </w:rPr>
        <w:t xml:space="preserve">    </w:t>
      </w:r>
      <w:r w:rsidR="00983C0D" w:rsidRPr="002646EE">
        <w:rPr>
          <w:rFonts w:ascii="Times New Roman" w:eastAsia="ArialMT" w:hAnsi="Times New Roman" w:cs="Times New Roman"/>
          <w:b/>
          <w:bCs/>
          <w:color w:val="000000" w:themeColor="text1"/>
          <w:sz w:val="24"/>
          <w:szCs w:val="24"/>
        </w:rPr>
        <w:t xml:space="preserve">                                        </w:t>
      </w:r>
      <w:r w:rsidR="00EA7093" w:rsidRPr="002646EE">
        <w:rPr>
          <w:rFonts w:ascii="Times New Roman" w:eastAsia="ArialMT" w:hAnsi="Times New Roman" w:cs="Times New Roman"/>
          <w:b/>
          <w:bCs/>
          <w:color w:val="000000" w:themeColor="text1"/>
          <w:sz w:val="24"/>
          <w:szCs w:val="24"/>
        </w:rPr>
        <w:t>TABLE 16.</w:t>
      </w:r>
      <w:r w:rsidR="00983C0D" w:rsidRPr="002646EE">
        <w:rPr>
          <w:rFonts w:ascii="Times New Roman" w:eastAsia="ArialMT" w:hAnsi="Times New Roman" w:cs="Times New Roman"/>
          <w:b/>
          <w:bCs/>
          <w:color w:val="000000" w:themeColor="text1"/>
          <w:sz w:val="24"/>
          <w:szCs w:val="24"/>
        </w:rPr>
        <w:t xml:space="preserve"> </w:t>
      </w:r>
      <w:r w:rsidR="00ED4D39">
        <w:rPr>
          <w:rStyle w:val="Heading3Char"/>
          <w:rFonts w:ascii="Times New Roman" w:hAnsi="Times New Roman" w:cs="Times New Roman"/>
        </w:rPr>
        <w:t>Ayurve</w:t>
      </w:r>
      <w:r w:rsidR="00983C0D" w:rsidRPr="002646EE">
        <w:rPr>
          <w:rStyle w:val="Heading3Char"/>
          <w:rFonts w:ascii="Times New Roman" w:hAnsi="Times New Roman" w:cs="Times New Roman"/>
        </w:rPr>
        <w:t xml:space="preserve">dic pharmacological </w:t>
      </w:r>
      <w:r w:rsidR="004A0BCE" w:rsidRPr="002646EE">
        <w:rPr>
          <w:rStyle w:val="Heading3Char"/>
          <w:rFonts w:ascii="Times New Roman" w:hAnsi="Times New Roman" w:cs="Times New Roman"/>
        </w:rPr>
        <w:t>action</w:t>
      </w:r>
      <w:r w:rsidR="00B90FAF" w:rsidRPr="002646EE">
        <w:rPr>
          <w:rStyle w:val="Heading3Char"/>
          <w:rFonts w:ascii="Times New Roman" w:hAnsi="Times New Roman" w:cs="Times New Roman"/>
        </w:rPr>
        <w:t xml:space="preserve"> of</w:t>
      </w:r>
      <w:r w:rsidR="00983C0D" w:rsidRPr="002646EE">
        <w:rPr>
          <w:rStyle w:val="Heading3Char"/>
          <w:rFonts w:ascii="Times New Roman" w:hAnsi="Times New Roman" w:cs="Times New Roman"/>
        </w:rPr>
        <w:t xml:space="preserve"> ingredients of</w:t>
      </w:r>
      <w:r w:rsidR="00B90FAF" w:rsidRPr="002646EE">
        <w:rPr>
          <w:rStyle w:val="Heading3Char"/>
          <w:rFonts w:ascii="Times New Roman" w:hAnsi="Times New Roman" w:cs="Times New Roman"/>
        </w:rPr>
        <w:t xml:space="preserve"> VA</w:t>
      </w:r>
      <w:r w:rsidR="004A0BCE" w:rsidRPr="002646EE">
        <w:rPr>
          <w:rStyle w:val="Heading3Char"/>
          <w:rFonts w:ascii="Times New Roman" w:hAnsi="Times New Roman" w:cs="Times New Roman"/>
        </w:rPr>
        <w:t xml:space="preserve"> as per</w:t>
      </w:r>
      <w:r w:rsidR="00B90FAF" w:rsidRPr="002646EE">
        <w:rPr>
          <w:rStyle w:val="Heading3Char"/>
          <w:rFonts w:ascii="Times New Roman" w:hAnsi="Times New Roman" w:cs="Times New Roman"/>
        </w:rPr>
        <w:t xml:space="preserve"> Charaka.</w:t>
      </w:r>
    </w:p>
    <w:p w:rsidR="00976471" w:rsidRDefault="00831AAB" w:rsidP="00300E0D">
      <w:pPr>
        <w:jc w:val="center"/>
        <w:rPr>
          <w:rFonts w:ascii="Times New Roman" w:eastAsia="ArialMT" w:hAnsi="Times New Roman" w:cs="Times New Roman"/>
          <w:b/>
          <w:bCs/>
          <w:color w:val="000000" w:themeColor="text1"/>
          <w:sz w:val="24"/>
          <w:szCs w:val="24"/>
        </w:rPr>
      </w:pPr>
      <w:r w:rsidRPr="002646EE">
        <w:rPr>
          <w:rFonts w:ascii="Times New Roman" w:eastAsia="ArialMT" w:hAnsi="Times New Roman" w:cs="Times New Roman"/>
          <w:b/>
          <w:bCs/>
          <w:color w:val="000000" w:themeColor="text1"/>
          <w:sz w:val="24"/>
          <w:szCs w:val="24"/>
        </w:rPr>
        <w:t>Shatavar</w:t>
      </w:r>
      <w:r w:rsidR="000C3CE3" w:rsidRPr="002646EE">
        <w:rPr>
          <w:rFonts w:ascii="Times New Roman" w:eastAsia="ArialMT" w:hAnsi="Times New Roman" w:cs="Times New Roman"/>
          <w:b/>
          <w:bCs/>
          <w:color w:val="000000" w:themeColor="text1"/>
          <w:sz w:val="24"/>
          <w:szCs w:val="24"/>
        </w:rPr>
        <w:t>i, Bhallataka</w:t>
      </w:r>
      <w:r w:rsidRPr="002646EE">
        <w:rPr>
          <w:rFonts w:ascii="Times New Roman" w:eastAsia="ArialMT" w:hAnsi="Times New Roman" w:cs="Times New Roman"/>
          <w:b/>
          <w:bCs/>
          <w:color w:val="000000" w:themeColor="text1"/>
          <w:sz w:val="24"/>
          <w:szCs w:val="24"/>
        </w:rPr>
        <w:t xml:space="preserve"> in 2 groups, Murva, Bilwa, Darbha in 4 groups, Brihati in 5 groups, Bhadra, Karanja, chiribilwa in 1 group, Agnimantha in</w:t>
      </w:r>
      <w:r w:rsidR="000C3CE3" w:rsidRPr="002646EE">
        <w:rPr>
          <w:rFonts w:ascii="Times New Roman" w:eastAsia="ArialMT" w:hAnsi="Times New Roman" w:cs="Times New Roman"/>
          <w:b/>
          <w:bCs/>
          <w:color w:val="000000" w:themeColor="text1"/>
          <w:sz w:val="24"/>
          <w:szCs w:val="24"/>
        </w:rPr>
        <w:t xml:space="preserve"> 1 group, Harit</w:t>
      </w:r>
      <w:r w:rsidR="002D6B34" w:rsidRPr="002646EE">
        <w:rPr>
          <w:rFonts w:ascii="Times New Roman" w:eastAsia="ArialMT" w:hAnsi="Times New Roman" w:cs="Times New Roman"/>
          <w:b/>
          <w:bCs/>
          <w:color w:val="000000" w:themeColor="text1"/>
          <w:sz w:val="24"/>
          <w:szCs w:val="24"/>
        </w:rPr>
        <w:t>aki in 12 groups as per charaka</w:t>
      </w:r>
      <w:r w:rsidR="000C3CE3" w:rsidRPr="002646EE">
        <w:rPr>
          <w:rFonts w:ascii="Times New Roman" w:eastAsia="ArialMT" w:hAnsi="Times New Roman" w:cs="Times New Roman"/>
          <w:b/>
          <w:bCs/>
          <w:color w:val="000000" w:themeColor="text1"/>
          <w:sz w:val="24"/>
          <w:szCs w:val="24"/>
        </w:rPr>
        <w:t xml:space="preserve">. </w:t>
      </w:r>
      <w:r w:rsidR="000C3CE3" w:rsidRPr="002646EE">
        <w:rPr>
          <w:rFonts w:ascii="Times New Roman" w:hAnsi="Times New Roman" w:cs="Times New Roman"/>
          <w:b/>
          <w:sz w:val="24"/>
          <w:szCs w:val="24"/>
        </w:rPr>
        <w:t>Indications of eac</w:t>
      </w:r>
      <w:r w:rsidR="001B572C">
        <w:rPr>
          <w:rFonts w:ascii="Times New Roman" w:hAnsi="Times New Roman" w:cs="Times New Roman"/>
          <w:b/>
          <w:sz w:val="24"/>
          <w:szCs w:val="24"/>
        </w:rPr>
        <w:t>h group is mentioned in Table 16</w:t>
      </w:r>
      <w:r w:rsidR="000C3CE3" w:rsidRPr="002646EE">
        <w:rPr>
          <w:rFonts w:ascii="Times New Roman" w:hAnsi="Times New Roman" w:cs="Times New Roman"/>
          <w:b/>
          <w:sz w:val="24"/>
          <w:szCs w:val="24"/>
        </w:rPr>
        <w:t>.</w:t>
      </w: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1B572C" w:rsidRDefault="001B572C" w:rsidP="001B572C">
      <w:pPr>
        <w:rPr>
          <w:rFonts w:ascii="Times New Roman" w:eastAsiaTheme="majorEastAsia" w:hAnsi="Times New Roman" w:cs="Times New Roman"/>
          <w:b/>
          <w:color w:val="000000" w:themeColor="text1"/>
          <w:kern w:val="24"/>
          <w:sz w:val="26"/>
          <w:szCs w:val="26"/>
        </w:rPr>
      </w:pPr>
    </w:p>
    <w:p w:rsidR="00300E0D" w:rsidRDefault="00300E0D" w:rsidP="001B572C">
      <w:pPr>
        <w:jc w:val="center"/>
        <w:rPr>
          <w:rFonts w:ascii="Times New Roman" w:eastAsiaTheme="majorEastAsia" w:hAnsi="Times New Roman" w:cs="Times New Roman"/>
          <w:b/>
          <w:color w:val="000000" w:themeColor="text1"/>
          <w:kern w:val="24"/>
          <w:sz w:val="26"/>
          <w:szCs w:val="26"/>
        </w:rPr>
      </w:pPr>
      <w:r w:rsidRPr="00300E0D">
        <w:lastRenderedPageBreak/>
        <w:drawing>
          <wp:anchor distT="0" distB="0" distL="114300" distR="114300" simplePos="0" relativeHeight="251688960" behindDoc="0" locked="0" layoutInCell="1" allowOverlap="1">
            <wp:simplePos x="0" y="0"/>
            <wp:positionH relativeFrom="column">
              <wp:posOffset>715010</wp:posOffset>
            </wp:positionH>
            <wp:positionV relativeFrom="paragraph">
              <wp:posOffset>259715</wp:posOffset>
            </wp:positionV>
            <wp:extent cx="7319645" cy="51479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9645" cy="514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72C">
        <w:rPr>
          <w:rFonts w:ascii="Times New Roman" w:eastAsiaTheme="majorEastAsia" w:hAnsi="Times New Roman" w:cs="Times New Roman"/>
          <w:b/>
          <w:color w:val="000000" w:themeColor="text1"/>
          <w:kern w:val="24"/>
          <w:sz w:val="26"/>
          <w:szCs w:val="26"/>
        </w:rPr>
        <w:t xml:space="preserve">TABLE 17. </w:t>
      </w:r>
      <w:r>
        <w:rPr>
          <w:rFonts w:ascii="Times New Roman" w:eastAsiaTheme="majorEastAsia" w:hAnsi="Times New Roman" w:cs="Times New Roman"/>
          <w:b/>
          <w:color w:val="000000" w:themeColor="text1"/>
          <w:kern w:val="24"/>
          <w:sz w:val="26"/>
          <w:szCs w:val="26"/>
        </w:rPr>
        <w:t xml:space="preserve">Similar </w:t>
      </w:r>
      <w:r w:rsidRPr="00300E0D">
        <w:rPr>
          <w:rFonts w:ascii="Times New Roman" w:eastAsiaTheme="majorEastAsia" w:hAnsi="Times New Roman" w:cs="Times New Roman"/>
          <w:b/>
          <w:i/>
          <w:color w:val="000000" w:themeColor="text1"/>
          <w:kern w:val="24"/>
          <w:sz w:val="26"/>
          <w:szCs w:val="26"/>
        </w:rPr>
        <w:t>Ganas</w:t>
      </w:r>
      <w:r>
        <w:rPr>
          <w:rFonts w:ascii="Times New Roman" w:eastAsiaTheme="majorEastAsia" w:hAnsi="Times New Roman" w:cs="Times New Roman"/>
          <w:b/>
          <w:color w:val="000000" w:themeColor="text1"/>
          <w:kern w:val="24"/>
          <w:sz w:val="26"/>
          <w:szCs w:val="26"/>
        </w:rPr>
        <w:t xml:space="preserve"> found between NK and VA</w:t>
      </w: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300E0D" w:rsidRDefault="00300E0D" w:rsidP="00300E0D">
      <w:pPr>
        <w:jc w:val="center"/>
        <w:rPr>
          <w:rFonts w:ascii="Times New Roman" w:eastAsia="ArialMT" w:hAnsi="Times New Roman" w:cs="Times New Roman"/>
          <w:b/>
          <w:bCs/>
          <w:color w:val="000000" w:themeColor="text1"/>
          <w:sz w:val="24"/>
          <w:szCs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1B572C"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3E620D" w:rsidRDefault="001B572C" w:rsidP="001B572C">
      <w:pPr>
        <w:pStyle w:val="NormalWeb"/>
        <w:spacing w:before="0" w:beforeAutospacing="0" w:after="0" w:afterAutospacing="0"/>
        <w:jc w:val="center"/>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             </w:t>
      </w:r>
    </w:p>
    <w:p w:rsidR="003E620D" w:rsidRDefault="003E620D"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94376E" w:rsidRDefault="0094376E"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94376E" w:rsidRDefault="0094376E" w:rsidP="001B572C">
      <w:pPr>
        <w:pStyle w:val="NormalWeb"/>
        <w:spacing w:before="0" w:beforeAutospacing="0" w:after="0" w:afterAutospacing="0"/>
        <w:jc w:val="center"/>
        <w:rPr>
          <w:rFonts w:asciiTheme="minorHAnsi" w:eastAsiaTheme="minorEastAsia" w:hAnsi="Calibri" w:cstheme="minorBidi"/>
          <w:color w:val="000000" w:themeColor="text1"/>
          <w:kern w:val="24"/>
        </w:rPr>
      </w:pPr>
    </w:p>
    <w:p w:rsidR="003B5822" w:rsidRDefault="0094376E" w:rsidP="001B572C">
      <w:pPr>
        <w:pStyle w:val="NormalWeb"/>
        <w:spacing w:before="0" w:beforeAutospacing="0" w:after="0" w:afterAutospacing="0"/>
        <w:jc w:val="center"/>
        <w:sectPr w:rsidR="003B5822" w:rsidSect="003B5822">
          <w:pgSz w:w="16838" w:h="11906" w:orient="landscape"/>
          <w:pgMar w:top="1440" w:right="1440" w:bottom="1440" w:left="1440" w:header="708" w:footer="708" w:gutter="0"/>
          <w:cols w:space="708"/>
          <w:docGrid w:linePitch="360"/>
        </w:sectPr>
      </w:pPr>
      <w:r>
        <w:rPr>
          <w:rFonts w:asciiTheme="minorHAnsi" w:eastAsiaTheme="minorEastAsia" w:hAnsi="Calibri" w:cstheme="minorBidi"/>
          <w:color w:val="000000" w:themeColor="text1"/>
          <w:kern w:val="24"/>
        </w:rPr>
        <w:t xml:space="preserve">In </w:t>
      </w:r>
      <w:r w:rsidR="001B572C" w:rsidRPr="001B572C">
        <w:rPr>
          <w:rFonts w:asciiTheme="minorHAnsi" w:eastAsiaTheme="minorEastAsia" w:hAnsi="Calibri" w:cstheme="minorBidi"/>
          <w:color w:val="000000" w:themeColor="text1"/>
          <w:kern w:val="24"/>
        </w:rPr>
        <w:t xml:space="preserve">total there are 18 similar </w:t>
      </w:r>
      <w:r w:rsidR="001B572C" w:rsidRPr="001B572C">
        <w:rPr>
          <w:rFonts w:asciiTheme="minorHAnsi" w:eastAsiaTheme="minorEastAsia" w:hAnsi="Calibri" w:cstheme="minorBidi"/>
          <w:i/>
          <w:iCs/>
          <w:color w:val="000000" w:themeColor="text1"/>
          <w:kern w:val="24"/>
        </w:rPr>
        <w:t xml:space="preserve">ganas </w:t>
      </w:r>
      <w:r w:rsidR="001B572C" w:rsidRPr="001B572C">
        <w:rPr>
          <w:rFonts w:asciiTheme="minorHAnsi" w:eastAsiaTheme="minorEastAsia" w:hAnsi="Calibri" w:cstheme="minorBidi"/>
          <w:color w:val="000000" w:themeColor="text1"/>
          <w:kern w:val="24"/>
        </w:rPr>
        <w:t>among NK and VA.</w:t>
      </w:r>
    </w:p>
    <w:p w:rsidR="001B572C" w:rsidRPr="001B572C" w:rsidRDefault="001B572C" w:rsidP="001B572C">
      <w:pPr>
        <w:pStyle w:val="NormalWeb"/>
        <w:spacing w:before="0" w:beforeAutospacing="0" w:after="0" w:afterAutospacing="0"/>
        <w:jc w:val="center"/>
      </w:pPr>
    </w:p>
    <w:p w:rsidR="00CB2BBE" w:rsidRPr="002646EE" w:rsidRDefault="00CB2BBE" w:rsidP="002D6B34">
      <w:pPr>
        <w:pStyle w:val="Heading2"/>
      </w:pPr>
      <w:bookmarkStart w:id="45" w:name="_Toc171420571"/>
      <w:r w:rsidRPr="002646EE">
        <w:t>3.4 Gene ontology and enrichment analysis of diabetic-associated genes</w:t>
      </w:r>
      <w:bookmarkEnd w:id="45"/>
    </w:p>
    <w:p w:rsidR="00CB2BBE" w:rsidRPr="002646EE" w:rsidRDefault="00CB2BBE" w:rsidP="00CB2BBE">
      <w:pPr>
        <w:spacing w:after="0" w:line="360" w:lineRule="auto"/>
        <w:jc w:val="both"/>
        <w:rPr>
          <w:rFonts w:ascii="Times New Roman" w:eastAsia="ArialMT" w:hAnsi="Times New Roman" w:cs="Times New Roman"/>
          <w:color w:val="000000" w:themeColor="text1"/>
          <w:sz w:val="24"/>
          <w:szCs w:val="24"/>
        </w:rPr>
      </w:pPr>
    </w:p>
    <w:p w:rsidR="00CB2BBE" w:rsidRPr="002646EE" w:rsidRDefault="00CB2BBE" w:rsidP="00D2094E">
      <w:pPr>
        <w:pStyle w:val="Heading3"/>
        <w:rPr>
          <w:rFonts w:ascii="Times New Roman" w:hAnsi="Times New Roman" w:cs="Times New Roman"/>
        </w:rPr>
      </w:pPr>
      <w:bookmarkStart w:id="46" w:name="_Toc171420572"/>
      <w:r w:rsidRPr="002646EE">
        <w:rPr>
          <w:rFonts w:ascii="Times New Roman" w:hAnsi="Times New Roman" w:cs="Times New Roman"/>
        </w:rPr>
        <w:t>10 biological process</w:t>
      </w:r>
      <w:r w:rsidR="0094376E">
        <w:rPr>
          <w:rFonts w:ascii="Times New Roman" w:hAnsi="Times New Roman" w:cs="Times New Roman"/>
        </w:rPr>
        <w:t>es</w:t>
      </w:r>
      <w:r w:rsidRPr="002646EE">
        <w:rPr>
          <w:rFonts w:ascii="Times New Roman" w:hAnsi="Times New Roman" w:cs="Times New Roman"/>
        </w:rPr>
        <w:t xml:space="preserve"> enriched by diabetic asoociated genes targeted by both NK</w:t>
      </w:r>
      <w:bookmarkEnd w:id="46"/>
      <w:r w:rsidRPr="002646EE">
        <w:rPr>
          <w:rFonts w:ascii="Times New Roman" w:hAnsi="Times New Roman" w:cs="Times New Roman"/>
        </w:rPr>
        <w:t xml:space="preserve"> </w:t>
      </w:r>
    </w:p>
    <w:p w:rsidR="00CB2BBE" w:rsidRPr="002646EE" w:rsidRDefault="00CB2BBE" w:rsidP="00D2094E">
      <w:pPr>
        <w:pStyle w:val="Heading3"/>
        <w:rPr>
          <w:rFonts w:ascii="Times New Roman" w:hAnsi="Times New Roman" w:cs="Times New Roman"/>
        </w:rPr>
      </w:pPr>
      <w:bookmarkStart w:id="47" w:name="_Toc171420573"/>
      <w:r w:rsidRPr="002646EE">
        <w:rPr>
          <w:rFonts w:ascii="Times New Roman" w:hAnsi="Times New Roman" w:cs="Times New Roman"/>
        </w:rPr>
        <w:t>and VA</w:t>
      </w:r>
      <w:bookmarkEnd w:id="47"/>
      <w:r w:rsidRPr="002646EE">
        <w:rPr>
          <w:rFonts w:ascii="Times New Roman" w:hAnsi="Times New Roman" w:cs="Times New Roman"/>
        </w:rPr>
        <w:t xml:space="preserve"> </w:t>
      </w:r>
    </w:p>
    <w:p w:rsidR="00CB2BBE" w:rsidRPr="002646EE" w:rsidRDefault="00CB2BBE" w:rsidP="006F52E0">
      <w:pPr>
        <w:autoSpaceDE w:val="0"/>
        <w:autoSpaceDN w:val="0"/>
        <w:adjustRightInd w:val="0"/>
        <w:spacing w:after="0" w:line="360" w:lineRule="auto"/>
        <w:jc w:val="both"/>
        <w:rPr>
          <w:rFonts w:ascii="Times New Roman" w:eastAsia="ArialMT" w:hAnsi="Times New Roman" w:cs="Times New Roman"/>
          <w:b/>
          <w:color w:val="000000" w:themeColor="text1"/>
          <w:sz w:val="24"/>
          <w:szCs w:val="24"/>
        </w:rPr>
      </w:pPr>
      <w:r w:rsidRPr="002646EE">
        <w:rPr>
          <w:rFonts w:ascii="Times New Roman" w:eastAsia="ArialMT" w:hAnsi="Times New Roman" w:cs="Times New Roman"/>
          <w:b/>
          <w:noProof/>
          <w:color w:val="000000" w:themeColor="text1"/>
          <w:sz w:val="24"/>
          <w:szCs w:val="24"/>
          <w:lang w:eastAsia="en-IN"/>
        </w:rPr>
        <w:drawing>
          <wp:inline distT="0" distB="0" distL="0" distR="0" wp14:anchorId="49F25083" wp14:editId="70079D1C">
            <wp:extent cx="6408000" cy="4513148"/>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8000" cy="4513148"/>
                    </a:xfrm>
                    <a:prstGeom prst="rect">
                      <a:avLst/>
                    </a:prstGeom>
                  </pic:spPr>
                </pic:pic>
              </a:graphicData>
            </a:graphic>
          </wp:inline>
        </w:drawing>
      </w:r>
    </w:p>
    <w:p w:rsidR="006F52E0" w:rsidRPr="00A359D9" w:rsidRDefault="006F52E0" w:rsidP="00A359D9">
      <w:pPr>
        <w:spacing w:after="0" w:line="360" w:lineRule="auto"/>
        <w:jc w:val="both"/>
        <w:rPr>
          <w:rFonts w:ascii="Times New Roman" w:eastAsia="ArialMT" w:hAnsi="Times New Roman" w:cs="Times New Roman"/>
          <w:b/>
          <w:bCs/>
          <w:color w:val="000000"/>
          <w:sz w:val="24"/>
          <w:szCs w:val="24"/>
        </w:rPr>
      </w:pPr>
      <w:r w:rsidRPr="00A359D9">
        <w:rPr>
          <w:rFonts w:ascii="Times New Roman" w:eastAsia="ArialMT" w:hAnsi="Times New Roman" w:cs="Times New Roman"/>
          <w:b/>
          <w:bCs/>
          <w:color w:val="000000"/>
          <w:sz w:val="24"/>
          <w:szCs w:val="24"/>
        </w:rPr>
        <w:t xml:space="preserve">FIGURE 6.  cnetplot </w:t>
      </w:r>
      <w:r w:rsidR="00A82135" w:rsidRPr="00A359D9">
        <w:rPr>
          <w:rFonts w:ascii="Times New Roman" w:eastAsia="ArialMT" w:hAnsi="Times New Roman" w:cs="Times New Roman"/>
          <w:b/>
          <w:bCs/>
          <w:color w:val="000000"/>
          <w:sz w:val="24"/>
          <w:szCs w:val="24"/>
        </w:rPr>
        <w:t xml:space="preserve">representing </w:t>
      </w:r>
      <w:r w:rsidR="00702071" w:rsidRPr="00A359D9">
        <w:rPr>
          <w:rFonts w:ascii="Times New Roman" w:eastAsia="ArialMT" w:hAnsi="Times New Roman" w:cs="Times New Roman"/>
          <w:b/>
          <w:bCs/>
          <w:color w:val="000000"/>
          <w:sz w:val="24"/>
          <w:szCs w:val="24"/>
        </w:rPr>
        <w:t xml:space="preserve"> top 10 significantly enriched biological process in the given</w:t>
      </w:r>
      <w:r w:rsidR="004C771E" w:rsidRPr="00A359D9">
        <w:rPr>
          <w:rFonts w:ascii="Times New Roman" w:eastAsia="ArialMT" w:hAnsi="Times New Roman" w:cs="Times New Roman"/>
          <w:b/>
          <w:bCs/>
          <w:color w:val="000000"/>
          <w:sz w:val="24"/>
          <w:szCs w:val="24"/>
        </w:rPr>
        <w:t xml:space="preserve">  set of </w:t>
      </w:r>
      <w:r w:rsidR="00702071" w:rsidRPr="00A359D9">
        <w:rPr>
          <w:rFonts w:ascii="Times New Roman" w:eastAsia="ArialMT" w:hAnsi="Times New Roman" w:cs="Times New Roman"/>
          <w:b/>
          <w:bCs/>
          <w:color w:val="000000"/>
          <w:sz w:val="24"/>
          <w:szCs w:val="24"/>
        </w:rPr>
        <w:t>diabetic associated gene.</w:t>
      </w:r>
    </w:p>
    <w:p w:rsidR="00702071" w:rsidRPr="002646EE" w:rsidRDefault="00702071" w:rsidP="00CB2BBE">
      <w:pPr>
        <w:spacing w:after="0" w:line="360" w:lineRule="auto"/>
        <w:jc w:val="both"/>
        <w:rPr>
          <w:rFonts w:ascii="Times New Roman" w:eastAsia="ArialMT" w:hAnsi="Times New Roman" w:cs="Times New Roman"/>
          <w:b/>
          <w:color w:val="000000"/>
          <w:sz w:val="24"/>
          <w:szCs w:val="24"/>
        </w:rPr>
      </w:pPr>
    </w:p>
    <w:p w:rsidR="00CB2BBE" w:rsidRPr="002646EE" w:rsidRDefault="00CB2BBE" w:rsidP="00CB2BBE">
      <w:pPr>
        <w:spacing w:after="0" w:line="360" w:lineRule="auto"/>
        <w:jc w:val="both"/>
        <w:rPr>
          <w:rStyle w:val="NormalWebChar"/>
          <w:rFonts w:eastAsia="ArialMT"/>
        </w:rPr>
      </w:pPr>
      <w:r w:rsidRPr="002646EE">
        <w:rPr>
          <w:rFonts w:ascii="Times New Roman" w:hAnsi="Times New Roman" w:cs="Times New Roman"/>
          <w:sz w:val="24"/>
          <w:szCs w:val="24"/>
        </w:rPr>
        <w:t>NK and VA target 13 diabetes-associated genes, of which 10 genes, visualized in the graph above, are overrepresented in several biological processes. Amyloid-beta metabolic process is enriched by 5 out of the 13 genes, regulation of smooth muscle cell proliferation by 6 genes, smooth muscle cell proliferation by 6 genes, cellular response to chemical stress by 7 genes, regulation of vascular-associated smooth muscle cell proliferation by 5 genes,Vascular associated smooth muscle cell proliferation by , positive regulation of smooth muscle cell proliferation by 5 genes, regulation of amyloid-beta formation by 4 genes, response to reactive oxygen species by 6 genes, and muscle cell proliferation by 6 genes. These biological processes are the top 10 enriched processes in the given set of 13 genes</w:t>
      </w:r>
      <w:r w:rsidRPr="002646EE">
        <w:rPr>
          <w:rStyle w:val="NormalWebChar"/>
          <w:rFonts w:eastAsia="ArialMT"/>
        </w:rPr>
        <w:t>.</w:t>
      </w:r>
    </w:p>
    <w:p w:rsidR="00CB2BBE" w:rsidRPr="002646EE" w:rsidRDefault="00CB2BBE" w:rsidP="00CB2BBE">
      <w:pPr>
        <w:spacing w:after="0" w:line="240" w:lineRule="auto"/>
        <w:rPr>
          <w:rFonts w:ascii="Times New Roman" w:eastAsia="ArialMT" w:hAnsi="Times New Roman" w:cs="Times New Roman"/>
          <w:color w:val="000000"/>
          <w:sz w:val="24"/>
          <w:szCs w:val="24"/>
        </w:rPr>
      </w:pPr>
    </w:p>
    <w:p w:rsidR="00CB2BBE" w:rsidRPr="002646EE" w:rsidRDefault="00CB2BBE" w:rsidP="00D2094E">
      <w:pPr>
        <w:pStyle w:val="Heading3"/>
        <w:rPr>
          <w:rFonts w:ascii="Times New Roman" w:hAnsi="Times New Roman" w:cs="Times New Roman"/>
        </w:rPr>
      </w:pPr>
      <w:bookmarkStart w:id="48" w:name="_Toc171420574"/>
      <w:r w:rsidRPr="002646EE">
        <w:rPr>
          <w:rFonts w:ascii="Times New Roman" w:hAnsi="Times New Roman" w:cs="Times New Roman"/>
          <w:noProof/>
          <w:lang w:eastAsia="en-IN"/>
        </w:rPr>
        <w:drawing>
          <wp:anchor distT="0" distB="0" distL="114300" distR="114300" simplePos="0" relativeHeight="251659264" behindDoc="1" locked="0" layoutInCell="1" allowOverlap="1" wp14:anchorId="094A946C" wp14:editId="0D2CA43E">
            <wp:simplePos x="0" y="0"/>
            <wp:positionH relativeFrom="page">
              <wp:posOffset>0</wp:posOffset>
            </wp:positionH>
            <wp:positionV relativeFrom="paragraph">
              <wp:posOffset>452120</wp:posOffset>
            </wp:positionV>
            <wp:extent cx="7559675" cy="5417820"/>
            <wp:effectExtent l="0" t="0" r="3175" b="0"/>
            <wp:wrapTight wrapText="bothSides">
              <wp:wrapPolygon edited="0">
                <wp:start x="0" y="0"/>
                <wp:lineTo x="0" y="21494"/>
                <wp:lineTo x="21555" y="21494"/>
                <wp:lineTo x="215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559675" cy="5417820"/>
                    </a:xfrm>
                    <a:prstGeom prst="rect">
                      <a:avLst/>
                    </a:prstGeom>
                  </pic:spPr>
                </pic:pic>
              </a:graphicData>
            </a:graphic>
            <wp14:sizeRelH relativeFrom="margin">
              <wp14:pctWidth>0</wp14:pctWidth>
            </wp14:sizeRelH>
            <wp14:sizeRelV relativeFrom="margin">
              <wp14:pctHeight>0</wp14:pctHeight>
            </wp14:sizeRelV>
          </wp:anchor>
        </w:drawing>
      </w:r>
      <w:r w:rsidRPr="002646EE">
        <w:rPr>
          <w:rFonts w:ascii="Times New Roman" w:hAnsi="Times New Roman" w:cs="Times New Roman"/>
        </w:rPr>
        <w:t>10 Biological process</w:t>
      </w:r>
      <w:r w:rsidR="0094376E">
        <w:rPr>
          <w:rFonts w:ascii="Times New Roman" w:hAnsi="Times New Roman" w:cs="Times New Roman"/>
        </w:rPr>
        <w:t>es</w:t>
      </w:r>
      <w:r w:rsidRPr="002646EE">
        <w:rPr>
          <w:rFonts w:ascii="Times New Roman" w:hAnsi="Times New Roman" w:cs="Times New Roman"/>
        </w:rPr>
        <w:t xml:space="preserve"> enriched by diabetic associat</w:t>
      </w:r>
      <w:r w:rsidR="00C2168A">
        <w:rPr>
          <w:rFonts w:ascii="Times New Roman" w:hAnsi="Times New Roman" w:cs="Times New Roman"/>
        </w:rPr>
        <w:t>e</w:t>
      </w:r>
      <w:r w:rsidRPr="002646EE">
        <w:rPr>
          <w:rFonts w:ascii="Times New Roman" w:hAnsi="Times New Roman" w:cs="Times New Roman"/>
        </w:rPr>
        <w:t>d genes exclusively targeted by NK</w:t>
      </w:r>
      <w:bookmarkEnd w:id="48"/>
    </w:p>
    <w:p w:rsidR="00D2094E" w:rsidRPr="002646EE" w:rsidRDefault="004B43D6" w:rsidP="004B43D6">
      <w:pPr>
        <w:spacing w:after="0" w:line="360" w:lineRule="auto"/>
        <w:jc w:val="both"/>
        <w:rPr>
          <w:rFonts w:ascii="Times New Roman" w:eastAsia="ArialMT" w:hAnsi="Times New Roman" w:cs="Times New Roman"/>
          <w:b/>
          <w:color w:val="000000"/>
          <w:sz w:val="24"/>
          <w:szCs w:val="24"/>
        </w:rPr>
      </w:pPr>
      <w:r w:rsidRPr="002646EE">
        <w:rPr>
          <w:rFonts w:ascii="Times New Roman" w:eastAsia="ArialMT" w:hAnsi="Times New Roman" w:cs="Times New Roman"/>
          <w:b/>
          <w:color w:val="000000"/>
          <w:sz w:val="24"/>
          <w:szCs w:val="24"/>
        </w:rPr>
        <w:t xml:space="preserve"> </w:t>
      </w:r>
    </w:p>
    <w:p w:rsidR="004B43D6" w:rsidRPr="00A359D9" w:rsidRDefault="00D2094E" w:rsidP="00A359D9">
      <w:pPr>
        <w:spacing w:after="0" w:line="360" w:lineRule="auto"/>
        <w:jc w:val="both"/>
        <w:rPr>
          <w:rFonts w:ascii="Times New Roman" w:eastAsia="ArialMT" w:hAnsi="Times New Roman" w:cs="Times New Roman"/>
          <w:b/>
          <w:bCs/>
          <w:color w:val="000000"/>
          <w:sz w:val="24"/>
          <w:szCs w:val="24"/>
        </w:rPr>
      </w:pPr>
      <w:r w:rsidRPr="00A359D9">
        <w:rPr>
          <w:rFonts w:ascii="Times New Roman" w:eastAsia="ArialMT" w:hAnsi="Times New Roman" w:cs="Times New Roman"/>
          <w:b/>
          <w:bCs/>
          <w:color w:val="000000"/>
          <w:sz w:val="24"/>
          <w:szCs w:val="24"/>
        </w:rPr>
        <w:t xml:space="preserve">FIGURE 7.  cnetplot representing  top 10 significantly enriched biological process in the </w:t>
      </w:r>
      <w:r w:rsidR="004B43D6" w:rsidRPr="00A359D9">
        <w:rPr>
          <w:rFonts w:ascii="Times New Roman" w:eastAsia="ArialMT" w:hAnsi="Times New Roman" w:cs="Times New Roman"/>
          <w:b/>
          <w:bCs/>
          <w:color w:val="000000"/>
          <w:sz w:val="24"/>
          <w:szCs w:val="24"/>
        </w:rPr>
        <w:t>given</w:t>
      </w:r>
      <w:r w:rsidR="004C771E" w:rsidRPr="00A359D9">
        <w:rPr>
          <w:rFonts w:ascii="Times New Roman" w:eastAsia="ArialMT" w:hAnsi="Times New Roman" w:cs="Times New Roman"/>
          <w:b/>
          <w:bCs/>
          <w:color w:val="000000"/>
          <w:sz w:val="24"/>
          <w:szCs w:val="24"/>
        </w:rPr>
        <w:t xml:space="preserve"> set of</w:t>
      </w:r>
      <w:r w:rsidR="004B43D6" w:rsidRPr="00A359D9">
        <w:rPr>
          <w:rFonts w:ascii="Times New Roman" w:eastAsia="ArialMT" w:hAnsi="Times New Roman" w:cs="Times New Roman"/>
          <w:b/>
          <w:bCs/>
          <w:color w:val="000000"/>
          <w:sz w:val="24"/>
          <w:szCs w:val="24"/>
        </w:rPr>
        <w:t xml:space="preserve"> diabetic associated gene.</w:t>
      </w:r>
    </w:p>
    <w:p w:rsidR="004B43D6" w:rsidRPr="002646EE" w:rsidRDefault="004B43D6" w:rsidP="00CB2BBE">
      <w:pPr>
        <w:autoSpaceDE w:val="0"/>
        <w:autoSpaceDN w:val="0"/>
        <w:adjustRightInd w:val="0"/>
        <w:spacing w:after="0" w:line="360" w:lineRule="auto"/>
        <w:jc w:val="both"/>
        <w:rPr>
          <w:rFonts w:ascii="Times New Roman" w:hAnsi="Times New Roman" w:cs="Times New Roman"/>
          <w:sz w:val="24"/>
          <w:szCs w:val="24"/>
        </w:rPr>
      </w:pPr>
    </w:p>
    <w:p w:rsidR="004B43D6" w:rsidRPr="002646EE" w:rsidRDefault="00CB2BBE" w:rsidP="004B43D6">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hAnsi="Times New Roman" w:cs="Times New Roman"/>
          <w:sz w:val="24"/>
          <w:szCs w:val="24"/>
        </w:rPr>
        <w:t>NK is exclusively  targeting 10 diabetes-associated genes, of which 9 genes, visualized in the graph above, are overrepresented in several biological processes. regulation of neuron apoptotic process is enriched by 4 out of the10 genes, neuron apoptotic process by 4 genes, response to toxic substance by 4 genes, aging by 4 genes, regulation of neuron death by 4 genes, ethanol oxidation by 2 genes, sensory perception of pain by 3 genes, cellular detoxification by 3 genes, cellular response to chemical stress by 4 genes, and neuron death by 4 genes. These biological processes are the top 10 enriched processes in the given set of 10 genes</w:t>
      </w:r>
      <w:r w:rsidRPr="002646EE">
        <w:rPr>
          <w:rStyle w:val="NormalWebChar"/>
          <w:rFonts w:eastAsia="ArialMT"/>
        </w:rPr>
        <w:t>.</w:t>
      </w:r>
    </w:p>
    <w:p w:rsidR="00CB2BBE" w:rsidRPr="002646EE" w:rsidRDefault="00CB2BBE" w:rsidP="00D2094E">
      <w:pPr>
        <w:pStyle w:val="Heading3"/>
        <w:rPr>
          <w:rFonts w:ascii="Times New Roman" w:hAnsi="Times New Roman" w:cs="Times New Roman"/>
        </w:rPr>
      </w:pPr>
      <w:bookmarkStart w:id="49" w:name="_Toc171420575"/>
      <w:r w:rsidRPr="002646EE">
        <w:rPr>
          <w:rFonts w:ascii="Times New Roman" w:hAnsi="Times New Roman" w:cs="Times New Roman"/>
        </w:rPr>
        <w:lastRenderedPageBreak/>
        <w:t>10 Biological process</w:t>
      </w:r>
      <w:r w:rsidR="0094376E">
        <w:rPr>
          <w:rFonts w:ascii="Times New Roman" w:hAnsi="Times New Roman" w:cs="Times New Roman"/>
        </w:rPr>
        <w:t>es</w:t>
      </w:r>
      <w:r w:rsidRPr="002646EE">
        <w:rPr>
          <w:rFonts w:ascii="Times New Roman" w:hAnsi="Times New Roman" w:cs="Times New Roman"/>
        </w:rPr>
        <w:t xml:space="preserve"> enriched by diabetic associat</w:t>
      </w:r>
      <w:r w:rsidR="00C2168A">
        <w:rPr>
          <w:rFonts w:ascii="Times New Roman" w:hAnsi="Times New Roman" w:cs="Times New Roman"/>
        </w:rPr>
        <w:t>e</w:t>
      </w:r>
      <w:r w:rsidRPr="002646EE">
        <w:rPr>
          <w:rFonts w:ascii="Times New Roman" w:hAnsi="Times New Roman" w:cs="Times New Roman"/>
        </w:rPr>
        <w:t>d genes exclusively targeted by VA</w:t>
      </w:r>
      <w:bookmarkEnd w:id="49"/>
    </w:p>
    <w:p w:rsidR="004B43D6" w:rsidRPr="002646EE" w:rsidRDefault="004B43D6" w:rsidP="004B43D6">
      <w:pPr>
        <w:autoSpaceDE w:val="0"/>
        <w:autoSpaceDN w:val="0"/>
        <w:adjustRightInd w:val="0"/>
        <w:spacing w:after="0" w:line="240" w:lineRule="auto"/>
        <w:rPr>
          <w:rFonts w:ascii="Times New Roman" w:eastAsia="ArialMT" w:hAnsi="Times New Roman" w:cs="Times New Roman"/>
          <w:sz w:val="24"/>
          <w:szCs w:val="24"/>
        </w:rPr>
      </w:pPr>
      <w:r w:rsidRPr="002646EE">
        <w:rPr>
          <w:rFonts w:ascii="Times New Roman" w:eastAsia="ArialMT" w:hAnsi="Times New Roman" w:cs="Times New Roman"/>
          <w:noProof/>
          <w:sz w:val="24"/>
          <w:szCs w:val="24"/>
          <w:lang w:eastAsia="en-IN"/>
        </w:rPr>
        <w:drawing>
          <wp:anchor distT="0" distB="0" distL="114300" distR="114300" simplePos="0" relativeHeight="251660288" behindDoc="1" locked="0" layoutInCell="1" allowOverlap="1" wp14:anchorId="04A58A10" wp14:editId="5DAE2961">
            <wp:simplePos x="0" y="0"/>
            <wp:positionH relativeFrom="margin">
              <wp:posOffset>-914400</wp:posOffset>
            </wp:positionH>
            <wp:positionV relativeFrom="paragraph">
              <wp:posOffset>-635</wp:posOffset>
            </wp:positionV>
            <wp:extent cx="7524000" cy="5307434"/>
            <wp:effectExtent l="0" t="0" r="127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24000" cy="5307434"/>
                    </a:xfrm>
                    <a:prstGeom prst="rect">
                      <a:avLst/>
                    </a:prstGeom>
                  </pic:spPr>
                </pic:pic>
              </a:graphicData>
            </a:graphic>
            <wp14:sizeRelH relativeFrom="margin">
              <wp14:pctWidth>0</wp14:pctWidth>
            </wp14:sizeRelH>
            <wp14:sizeRelV relativeFrom="margin">
              <wp14:pctHeight>0</wp14:pctHeight>
            </wp14:sizeRelV>
          </wp:anchor>
        </w:drawing>
      </w:r>
    </w:p>
    <w:p w:rsidR="004B43D6" w:rsidRPr="002646EE" w:rsidRDefault="004B43D6" w:rsidP="004B43D6">
      <w:pPr>
        <w:autoSpaceDE w:val="0"/>
        <w:autoSpaceDN w:val="0"/>
        <w:adjustRightInd w:val="0"/>
        <w:spacing w:after="0" w:line="360" w:lineRule="auto"/>
        <w:rPr>
          <w:rStyle w:val="NormalWebChar"/>
          <w:rFonts w:eastAsiaTheme="minorHAnsi"/>
        </w:rPr>
      </w:pPr>
      <w:r w:rsidRPr="002646EE">
        <w:rPr>
          <w:rFonts w:ascii="Times New Roman" w:eastAsia="ArialMT" w:hAnsi="Times New Roman" w:cs="Times New Roman"/>
          <w:b/>
          <w:color w:val="000000"/>
          <w:sz w:val="24"/>
          <w:szCs w:val="24"/>
        </w:rPr>
        <w:t>FIGURE 8.  cnetplot representing  top 10 significantly enriched biological process in the given</w:t>
      </w:r>
      <w:r w:rsidR="004C771E" w:rsidRPr="002646EE">
        <w:rPr>
          <w:rFonts w:ascii="Times New Roman" w:eastAsia="ArialMT" w:hAnsi="Times New Roman" w:cs="Times New Roman"/>
          <w:b/>
          <w:color w:val="000000"/>
          <w:sz w:val="24"/>
          <w:szCs w:val="24"/>
        </w:rPr>
        <w:t xml:space="preserve"> set of </w:t>
      </w:r>
      <w:r w:rsidRPr="002646EE">
        <w:rPr>
          <w:rFonts w:ascii="Times New Roman" w:eastAsia="ArialMT" w:hAnsi="Times New Roman" w:cs="Times New Roman"/>
          <w:b/>
          <w:color w:val="000000"/>
          <w:sz w:val="24"/>
          <w:szCs w:val="24"/>
        </w:rPr>
        <w:t>diabetic associated gene.</w:t>
      </w:r>
    </w:p>
    <w:p w:rsidR="00CB2BBE" w:rsidRPr="002646EE" w:rsidRDefault="00CB2BBE" w:rsidP="00CB2BBE">
      <w:pPr>
        <w:spacing w:after="0" w:line="360" w:lineRule="auto"/>
        <w:jc w:val="both"/>
        <w:rPr>
          <w:rStyle w:val="NormalWebChar"/>
          <w:rFonts w:eastAsia="ArialMT"/>
        </w:rPr>
      </w:pPr>
      <w:r w:rsidRPr="002646EE">
        <w:rPr>
          <w:rFonts w:ascii="Times New Roman" w:hAnsi="Times New Roman" w:cs="Times New Roman"/>
          <w:sz w:val="24"/>
          <w:szCs w:val="24"/>
        </w:rPr>
        <w:t>VA is exclusively  targeting 3 diabetes-associated genes, of which 3 genes, visualized in the graph above, are overrepresented in several biological processes. regulation of p38MAPK cascade process is enriched by 2 out of the 3 genes, p38MAPK cascade by 2 genes, regulation of interleukin-10 production by 2 genes, interleukin-10 production by 2 genes, positive chemotaxis by 2 genes, positive regulation of phosphatidylinositol 3-kinase signaling by 2 genes, regulation of phosphatidylinositol 3-kinase signaling by 2 genes, response to hydrogen peroxide by 2 genes, phosphatidylinositol 3-kinase signaling by 2 genes, and regulation of interleukin-6 production by 2 genes. These biological processes are the top 10 enriched processes in the given set of 3 genes</w:t>
      </w:r>
      <w:r w:rsidRPr="002646EE">
        <w:rPr>
          <w:rStyle w:val="NormalWebChar"/>
          <w:rFonts w:eastAsia="ArialMT"/>
        </w:rPr>
        <w:t>.</w:t>
      </w:r>
    </w:p>
    <w:p w:rsidR="00CB2BBE" w:rsidRPr="002646EE" w:rsidRDefault="00CB2BBE" w:rsidP="00D2094E">
      <w:pPr>
        <w:pStyle w:val="Heading3"/>
        <w:rPr>
          <w:rStyle w:val="NormalWebChar"/>
          <w:rFonts w:eastAsia="ArialMT"/>
        </w:rPr>
      </w:pPr>
      <w:bookmarkStart w:id="50" w:name="_Toc171420576"/>
      <w:r w:rsidRPr="002646EE">
        <w:rPr>
          <w:rFonts w:ascii="Times New Roman" w:hAnsi="Times New Roman" w:cs="Times New Roman"/>
        </w:rPr>
        <w:lastRenderedPageBreak/>
        <w:t>10 Cellular components  enriched by diabetic associat</w:t>
      </w:r>
      <w:r w:rsidR="00C2168A">
        <w:rPr>
          <w:rFonts w:ascii="Times New Roman" w:hAnsi="Times New Roman" w:cs="Times New Roman"/>
        </w:rPr>
        <w:t>e</w:t>
      </w:r>
      <w:r w:rsidRPr="002646EE">
        <w:rPr>
          <w:rFonts w:ascii="Times New Roman" w:hAnsi="Times New Roman" w:cs="Times New Roman"/>
        </w:rPr>
        <w:t>d genes targeted by both  NK  and VA</w:t>
      </w:r>
      <w:bookmarkEnd w:id="50"/>
      <w:r w:rsidRPr="002646EE">
        <w:rPr>
          <w:rFonts w:ascii="Times New Roman" w:hAnsi="Times New Roman" w:cs="Times New Roman"/>
        </w:rPr>
        <w:t xml:space="preserve"> </w:t>
      </w:r>
    </w:p>
    <w:p w:rsidR="004B43D6" w:rsidRPr="002646EE" w:rsidRDefault="004B43D6" w:rsidP="004B43D6">
      <w:pPr>
        <w:spacing w:after="0" w:line="360" w:lineRule="auto"/>
        <w:jc w:val="both"/>
        <w:rPr>
          <w:rFonts w:ascii="Times New Roman" w:eastAsia="ArialMT" w:hAnsi="Times New Roman" w:cs="Times New Roman"/>
          <w:sz w:val="24"/>
          <w:szCs w:val="24"/>
          <w:lang w:eastAsia="en-IN"/>
        </w:rPr>
      </w:pPr>
      <w:r w:rsidRPr="002646EE">
        <w:rPr>
          <w:rStyle w:val="NormalWebChar"/>
          <w:rFonts w:eastAsia="ArialMT"/>
          <w:noProof/>
        </w:rPr>
        <w:drawing>
          <wp:anchor distT="0" distB="0" distL="114300" distR="114300" simplePos="0" relativeHeight="251662336" behindDoc="0" locked="0" layoutInCell="1" allowOverlap="1" wp14:anchorId="7D765676" wp14:editId="3FDFE01B">
            <wp:simplePos x="0" y="0"/>
            <wp:positionH relativeFrom="column">
              <wp:posOffset>-914400</wp:posOffset>
            </wp:positionH>
            <wp:positionV relativeFrom="paragraph">
              <wp:posOffset>635</wp:posOffset>
            </wp:positionV>
            <wp:extent cx="7507898" cy="5472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07898" cy="5472000"/>
                    </a:xfrm>
                    <a:prstGeom prst="rect">
                      <a:avLst/>
                    </a:prstGeom>
                  </pic:spPr>
                </pic:pic>
              </a:graphicData>
            </a:graphic>
            <wp14:sizeRelH relativeFrom="margin">
              <wp14:pctWidth>0</wp14:pctWidth>
            </wp14:sizeRelH>
            <wp14:sizeRelV relativeFrom="margin">
              <wp14:pctHeight>0</wp14:pctHeight>
            </wp14:sizeRelV>
          </wp:anchor>
        </w:drawing>
      </w:r>
      <w:r w:rsidRPr="002646EE">
        <w:rPr>
          <w:rFonts w:ascii="Times New Roman" w:eastAsia="ArialMT" w:hAnsi="Times New Roman" w:cs="Times New Roman"/>
          <w:b/>
          <w:color w:val="000000"/>
          <w:sz w:val="24"/>
          <w:szCs w:val="24"/>
        </w:rPr>
        <w:t xml:space="preserve">FIGURE 9.  cnetplot representing  top 10 significantly enriched cellular components in the given </w:t>
      </w:r>
      <w:r w:rsidR="004C771E" w:rsidRPr="002646EE">
        <w:rPr>
          <w:rFonts w:ascii="Times New Roman" w:eastAsia="ArialMT" w:hAnsi="Times New Roman" w:cs="Times New Roman"/>
          <w:b/>
          <w:color w:val="000000"/>
          <w:sz w:val="24"/>
          <w:szCs w:val="24"/>
        </w:rPr>
        <w:t xml:space="preserve">set of </w:t>
      </w:r>
      <w:r w:rsidRPr="002646EE">
        <w:rPr>
          <w:rFonts w:ascii="Times New Roman" w:eastAsia="ArialMT" w:hAnsi="Times New Roman" w:cs="Times New Roman"/>
          <w:b/>
          <w:color w:val="000000"/>
          <w:sz w:val="24"/>
          <w:szCs w:val="24"/>
        </w:rPr>
        <w:t>diabetic associated gene.</w:t>
      </w:r>
    </w:p>
    <w:p w:rsidR="00CB2BBE" w:rsidRPr="002646EE" w:rsidRDefault="00CB2BBE" w:rsidP="00CB2BBE">
      <w:pPr>
        <w:spacing w:after="0" w:line="360" w:lineRule="auto"/>
        <w:jc w:val="both"/>
        <w:rPr>
          <w:rStyle w:val="NormalWebChar"/>
          <w:rFonts w:eastAsia="ArialMT"/>
        </w:rPr>
      </w:pPr>
    </w:p>
    <w:p w:rsidR="00CB2BBE" w:rsidRPr="002646EE" w:rsidRDefault="00CB2BBE" w:rsidP="00CB2BBE">
      <w:pPr>
        <w:spacing w:after="0" w:line="360" w:lineRule="auto"/>
        <w:jc w:val="both"/>
        <w:rPr>
          <w:rStyle w:val="NormalWebChar"/>
          <w:rFonts w:eastAsia="ArialMT"/>
        </w:rPr>
      </w:pPr>
      <w:r w:rsidRPr="002646EE">
        <w:rPr>
          <w:rFonts w:ascii="Times New Roman" w:hAnsi="Times New Roman" w:cs="Times New Roman"/>
          <w:sz w:val="24"/>
          <w:szCs w:val="24"/>
        </w:rPr>
        <w:t>NK and VA target 13 diabetes-associated genes, of which 11 genes, visualized in the graph above, are overrepresented in several cellular components. platelet alpha granule lumen is enriched by 4 out of the 13 genes, platelet alpha granule by 4 genes, secretory granule lumen by 4 genes, cytoplasmic vesicle lumen by 4 genes, vesicle lumen by 4 genes, blood microparticle by 3 genes, collagen-containing extracellular matrix by 4 genes, phagocytic cup by 2 genes, microvillus by 2 genes, and external side of plasma membrane by 3 genes. These cellular components are the top 10 enriched components in the given set of 13 genes</w:t>
      </w:r>
      <w:r w:rsidRPr="002646EE">
        <w:rPr>
          <w:rStyle w:val="NormalWebChar"/>
          <w:rFonts w:eastAsia="ArialMT"/>
        </w:rPr>
        <w:t>.</w:t>
      </w:r>
    </w:p>
    <w:p w:rsidR="00CB2BBE" w:rsidRPr="002646EE" w:rsidRDefault="00CB2BBE" w:rsidP="00D2094E">
      <w:pPr>
        <w:pStyle w:val="Heading3"/>
        <w:rPr>
          <w:rStyle w:val="NormalWebChar"/>
          <w:rFonts w:eastAsia="ArialMT"/>
        </w:rPr>
      </w:pPr>
      <w:bookmarkStart w:id="51" w:name="_Toc171420577"/>
      <w:r w:rsidRPr="002646EE">
        <w:rPr>
          <w:rStyle w:val="NormalWebChar"/>
          <w:rFonts w:eastAsia="ArialMT"/>
          <w:noProof/>
        </w:rPr>
        <w:lastRenderedPageBreak/>
        <w:drawing>
          <wp:anchor distT="0" distB="0" distL="114300" distR="114300" simplePos="0" relativeHeight="251663360" behindDoc="0" locked="0" layoutInCell="1" allowOverlap="1" wp14:anchorId="0AA553BD" wp14:editId="038A2AAB">
            <wp:simplePos x="0" y="0"/>
            <wp:positionH relativeFrom="column">
              <wp:posOffset>-914400</wp:posOffset>
            </wp:positionH>
            <wp:positionV relativeFrom="paragraph">
              <wp:posOffset>481330</wp:posOffset>
            </wp:positionV>
            <wp:extent cx="7991475" cy="5763260"/>
            <wp:effectExtent l="0" t="0" r="9525" b="889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991475" cy="5763260"/>
                    </a:xfrm>
                    <a:prstGeom prst="rect">
                      <a:avLst/>
                    </a:prstGeom>
                  </pic:spPr>
                </pic:pic>
              </a:graphicData>
            </a:graphic>
            <wp14:sizeRelH relativeFrom="margin">
              <wp14:pctWidth>0</wp14:pctWidth>
            </wp14:sizeRelH>
            <wp14:sizeRelV relativeFrom="margin">
              <wp14:pctHeight>0</wp14:pctHeight>
            </wp14:sizeRelV>
          </wp:anchor>
        </w:drawing>
      </w:r>
      <w:r w:rsidRPr="002646EE">
        <w:rPr>
          <w:rFonts w:ascii="Times New Roman" w:hAnsi="Times New Roman" w:cs="Times New Roman"/>
        </w:rPr>
        <w:t>10 Cellular components  enriched by diabetic associat</w:t>
      </w:r>
      <w:r w:rsidR="00C2168A">
        <w:rPr>
          <w:rFonts w:ascii="Times New Roman" w:hAnsi="Times New Roman" w:cs="Times New Roman"/>
        </w:rPr>
        <w:t>e</w:t>
      </w:r>
      <w:r w:rsidRPr="002646EE">
        <w:rPr>
          <w:rFonts w:ascii="Times New Roman" w:hAnsi="Times New Roman" w:cs="Times New Roman"/>
        </w:rPr>
        <w:t>d genes exclusively targeted by NK</w:t>
      </w:r>
      <w:bookmarkEnd w:id="51"/>
    </w:p>
    <w:p w:rsidR="00D2094E" w:rsidRPr="002646EE" w:rsidRDefault="00D2094E" w:rsidP="00CB2BBE">
      <w:pPr>
        <w:spacing w:after="0" w:line="360" w:lineRule="auto"/>
        <w:jc w:val="both"/>
        <w:rPr>
          <w:rStyle w:val="NormalWebChar"/>
          <w:rFonts w:eastAsia="ArialMT"/>
          <w:b/>
        </w:rPr>
      </w:pPr>
    </w:p>
    <w:p w:rsidR="00CB2BBE" w:rsidRPr="002646EE" w:rsidRDefault="004C771E" w:rsidP="00CB2BBE">
      <w:pPr>
        <w:spacing w:after="0" w:line="360" w:lineRule="auto"/>
        <w:jc w:val="both"/>
        <w:rPr>
          <w:rStyle w:val="NormalWebChar"/>
          <w:rFonts w:eastAsia="ArialMT"/>
          <w:b/>
        </w:rPr>
      </w:pPr>
      <w:r w:rsidRPr="002646EE">
        <w:rPr>
          <w:rStyle w:val="NormalWebChar"/>
          <w:rFonts w:eastAsia="ArialMT"/>
          <w:b/>
        </w:rPr>
        <w:t xml:space="preserve">FIGURE 10. </w:t>
      </w:r>
      <w:r w:rsidRPr="002646EE">
        <w:rPr>
          <w:rFonts w:ascii="Times New Roman" w:eastAsia="ArialMT" w:hAnsi="Times New Roman" w:cs="Times New Roman"/>
          <w:b/>
          <w:color w:val="000000"/>
          <w:sz w:val="24"/>
          <w:szCs w:val="24"/>
        </w:rPr>
        <w:t>cnetplot representing  top 10 significantly enriched cellular components in the given  set of diabetic associated gene.</w:t>
      </w:r>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Fonts w:ascii="Times New Roman" w:hAnsi="Times New Roman" w:cs="Times New Roman"/>
          <w:sz w:val="24"/>
          <w:szCs w:val="24"/>
        </w:rPr>
        <w:t>NK is exclusively  targeting 10 diabetes-associated genes, of which 5 genes, visualized in the graph above, are overrepresented in several cellular components. dense core granule  is enriched by 1 gene out of the10 gene, high-density lipoprotein particle by 1 gene, nuclear outer membrane by 1gene, dendrite cytoplasm  by 1 gene, plasma lipoprotein particle by 1 gene, lipoprotein particle by 1gene, protein-lipid complex by 1gene, DNA repair complex by 1 gene, mitochondrial matrix  by 2 genes, and axon cytoplasm by 1 gene. These  cellular components are the top 10 enriched components  in the given set of 10 genes</w:t>
      </w:r>
      <w:r w:rsidRPr="002646EE">
        <w:rPr>
          <w:rStyle w:val="NormalWebChar"/>
          <w:rFonts w:eastAsia="ArialMT"/>
        </w:rPr>
        <w:t>.</w:t>
      </w:r>
    </w:p>
    <w:p w:rsidR="00CB2BBE" w:rsidRPr="002646EE" w:rsidRDefault="00CB2BBE" w:rsidP="00D2094E">
      <w:pPr>
        <w:pStyle w:val="Heading3"/>
        <w:rPr>
          <w:rStyle w:val="NormalWebChar"/>
          <w:rFonts w:eastAsia="ArialMT"/>
        </w:rPr>
      </w:pPr>
      <w:bookmarkStart w:id="52" w:name="_Toc171420578"/>
      <w:r w:rsidRPr="002646EE">
        <w:rPr>
          <w:rFonts w:ascii="Times New Roman" w:hAnsi="Times New Roman" w:cs="Times New Roman"/>
        </w:rPr>
        <w:lastRenderedPageBreak/>
        <w:t>10 Cellular components  enriched by diabetic associat</w:t>
      </w:r>
      <w:r w:rsidR="00C2168A">
        <w:rPr>
          <w:rFonts w:ascii="Times New Roman" w:hAnsi="Times New Roman" w:cs="Times New Roman"/>
        </w:rPr>
        <w:t>e</w:t>
      </w:r>
      <w:r w:rsidRPr="002646EE">
        <w:rPr>
          <w:rFonts w:ascii="Times New Roman" w:hAnsi="Times New Roman" w:cs="Times New Roman"/>
        </w:rPr>
        <w:t xml:space="preserve">d genes exclusively targeted </w:t>
      </w:r>
      <w:r w:rsidRPr="00C2168A">
        <w:rPr>
          <w:rStyle w:val="NormalWebChar"/>
          <w:rFonts w:eastAsia="ArialMT"/>
        </w:rPr>
        <w:t>by VA</w:t>
      </w:r>
      <w:bookmarkEnd w:id="52"/>
    </w:p>
    <w:p w:rsidR="004C771E" w:rsidRPr="002646EE" w:rsidRDefault="00CB2BBE" w:rsidP="004C771E">
      <w:pPr>
        <w:autoSpaceDE w:val="0"/>
        <w:autoSpaceDN w:val="0"/>
        <w:adjustRightInd w:val="0"/>
        <w:spacing w:after="0" w:line="360" w:lineRule="auto"/>
        <w:jc w:val="both"/>
        <w:rPr>
          <w:rFonts w:ascii="Times New Roman" w:eastAsia="ArialMT" w:hAnsi="Times New Roman" w:cs="Times New Roman"/>
          <w:sz w:val="24"/>
          <w:szCs w:val="24"/>
          <w:lang w:eastAsia="en-IN"/>
        </w:rPr>
      </w:pPr>
      <w:r w:rsidRPr="002646EE">
        <w:rPr>
          <w:rStyle w:val="NormalWebChar"/>
          <w:rFonts w:eastAsia="ArialMT"/>
          <w:noProof/>
        </w:rPr>
        <w:drawing>
          <wp:anchor distT="0" distB="0" distL="114300" distR="114300" simplePos="0" relativeHeight="251664384" behindDoc="0" locked="0" layoutInCell="1" allowOverlap="1" wp14:anchorId="66938DA7" wp14:editId="45AE2DF6">
            <wp:simplePos x="0" y="0"/>
            <wp:positionH relativeFrom="column">
              <wp:posOffset>-914400</wp:posOffset>
            </wp:positionH>
            <wp:positionV relativeFrom="paragraph">
              <wp:posOffset>130175</wp:posOffset>
            </wp:positionV>
            <wp:extent cx="7560000" cy="5724632"/>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560000" cy="5724632"/>
                    </a:xfrm>
                    <a:prstGeom prst="rect">
                      <a:avLst/>
                    </a:prstGeom>
                  </pic:spPr>
                </pic:pic>
              </a:graphicData>
            </a:graphic>
            <wp14:sizeRelH relativeFrom="margin">
              <wp14:pctWidth>0</wp14:pctWidth>
            </wp14:sizeRelH>
            <wp14:sizeRelV relativeFrom="margin">
              <wp14:pctHeight>0</wp14:pctHeight>
            </wp14:sizeRelV>
          </wp:anchor>
        </w:drawing>
      </w:r>
      <w:r w:rsidR="004C771E" w:rsidRPr="002646EE">
        <w:rPr>
          <w:rStyle w:val="NormalWebChar"/>
          <w:rFonts w:eastAsia="ArialMT"/>
          <w:b/>
        </w:rPr>
        <w:t xml:space="preserve">FIGURE 11. </w:t>
      </w:r>
      <w:r w:rsidR="004C771E" w:rsidRPr="002646EE">
        <w:rPr>
          <w:rFonts w:ascii="Times New Roman" w:eastAsia="ArialMT" w:hAnsi="Times New Roman" w:cs="Times New Roman"/>
          <w:b/>
          <w:color w:val="000000"/>
          <w:sz w:val="24"/>
          <w:szCs w:val="24"/>
        </w:rPr>
        <w:t>cnetplot representing  top 10 significantly enriched cellular components in the given set of diabetic associated gene.</w:t>
      </w:r>
    </w:p>
    <w:p w:rsidR="006B083A" w:rsidRPr="002646EE" w:rsidRDefault="00CB2BBE" w:rsidP="00CB2BBE">
      <w:pPr>
        <w:spacing w:after="0" w:line="360" w:lineRule="auto"/>
        <w:jc w:val="both"/>
        <w:rPr>
          <w:rStyle w:val="NormalWebChar"/>
          <w:rFonts w:eastAsia="ArialMT"/>
        </w:rPr>
      </w:pPr>
      <w:r w:rsidRPr="002646EE">
        <w:rPr>
          <w:rFonts w:ascii="Times New Roman" w:hAnsi="Times New Roman" w:cs="Times New Roman"/>
          <w:sz w:val="24"/>
          <w:szCs w:val="24"/>
        </w:rPr>
        <w:t>VA is exclusively  targeting 3 diabetes-associated genes, of which 2 genes, visualized in the  above graph, are overrepresented in several cellular components secretory granule lumen is enriched by 2 out of the 3 genes, cytoplasmic vesicle lumen by 2 genes, vesicle lumen by 2 genes, peroxisomal matrix by 1 gene, microbody lumen by 1 gene, peroxisomal membrane  by 1gene, microbody membrane by 1 gene, platelet alpha granule lumen by 1 gene, mitochondrial intermembrane space by 1 gene, and organelle envelope lumen by 1gene. These cellular components  are the top 10 enriched processes in the given set of 3 genes</w:t>
      </w:r>
      <w:r w:rsidRPr="002646EE">
        <w:rPr>
          <w:rStyle w:val="NormalWebChar"/>
          <w:rFonts w:eastAsia="ArialMT"/>
        </w:rPr>
        <w:t>.</w:t>
      </w:r>
    </w:p>
    <w:p w:rsidR="00CB2BBE" w:rsidRPr="002646EE" w:rsidRDefault="006B083A" w:rsidP="00D2094E">
      <w:pPr>
        <w:pStyle w:val="Heading3"/>
        <w:rPr>
          <w:rStyle w:val="NormalWebChar"/>
          <w:rFonts w:eastAsia="ArialMT"/>
        </w:rPr>
      </w:pPr>
      <w:bookmarkStart w:id="53" w:name="_Toc171420579"/>
      <w:r w:rsidRPr="002646EE">
        <w:rPr>
          <w:rStyle w:val="NormalWebChar"/>
          <w:rFonts w:eastAsia="ArialMT"/>
          <w:noProof/>
        </w:rPr>
        <w:lastRenderedPageBreak/>
        <w:drawing>
          <wp:anchor distT="0" distB="0" distL="114300" distR="114300" simplePos="0" relativeHeight="251665408" behindDoc="0" locked="0" layoutInCell="1" allowOverlap="1" wp14:anchorId="46261E98" wp14:editId="3F707A18">
            <wp:simplePos x="0" y="0"/>
            <wp:positionH relativeFrom="column">
              <wp:posOffset>-914400</wp:posOffset>
            </wp:positionH>
            <wp:positionV relativeFrom="paragraph">
              <wp:posOffset>555625</wp:posOffset>
            </wp:positionV>
            <wp:extent cx="7991475" cy="590867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991475" cy="5908675"/>
                    </a:xfrm>
                    <a:prstGeom prst="rect">
                      <a:avLst/>
                    </a:prstGeom>
                  </pic:spPr>
                </pic:pic>
              </a:graphicData>
            </a:graphic>
            <wp14:sizeRelH relativeFrom="margin">
              <wp14:pctWidth>0</wp14:pctWidth>
            </wp14:sizeRelH>
            <wp14:sizeRelV relativeFrom="margin">
              <wp14:pctHeight>0</wp14:pctHeight>
            </wp14:sizeRelV>
          </wp:anchor>
        </w:drawing>
      </w:r>
      <w:r w:rsidR="00CB2BBE" w:rsidRPr="002646EE">
        <w:rPr>
          <w:rFonts w:ascii="Times New Roman" w:hAnsi="Times New Roman" w:cs="Times New Roman"/>
        </w:rPr>
        <w:t>10 Molecular functions  enriched by diabetic associat</w:t>
      </w:r>
      <w:r w:rsidR="00C2168A">
        <w:rPr>
          <w:rFonts w:ascii="Times New Roman" w:hAnsi="Times New Roman" w:cs="Times New Roman"/>
        </w:rPr>
        <w:t>e</w:t>
      </w:r>
      <w:r w:rsidR="00CB2BBE" w:rsidRPr="002646EE">
        <w:rPr>
          <w:rFonts w:ascii="Times New Roman" w:hAnsi="Times New Roman" w:cs="Times New Roman"/>
        </w:rPr>
        <w:t>d genes targeted by both  NK and VA.</w:t>
      </w:r>
      <w:bookmarkEnd w:id="53"/>
    </w:p>
    <w:p w:rsidR="00D2094E" w:rsidRPr="002646EE" w:rsidRDefault="00D2094E" w:rsidP="006B083A">
      <w:pPr>
        <w:spacing w:after="0" w:line="360" w:lineRule="auto"/>
        <w:jc w:val="both"/>
        <w:rPr>
          <w:rStyle w:val="NormalWebChar"/>
          <w:rFonts w:eastAsia="ArialMT"/>
          <w:b/>
        </w:rPr>
      </w:pPr>
    </w:p>
    <w:p w:rsidR="006B083A" w:rsidRPr="002646EE" w:rsidRDefault="006B083A" w:rsidP="006B083A">
      <w:pPr>
        <w:spacing w:after="0" w:line="360" w:lineRule="auto"/>
        <w:jc w:val="both"/>
        <w:rPr>
          <w:rStyle w:val="NormalWebChar"/>
          <w:rFonts w:eastAsia="ArialMT"/>
          <w:b/>
        </w:rPr>
      </w:pPr>
      <w:r w:rsidRPr="002646EE">
        <w:rPr>
          <w:rStyle w:val="NormalWebChar"/>
          <w:rFonts w:eastAsia="ArialMT"/>
          <w:b/>
        </w:rPr>
        <w:t xml:space="preserve">FIGURE 12. </w:t>
      </w:r>
      <w:r w:rsidRPr="002646EE">
        <w:rPr>
          <w:rFonts w:ascii="Times New Roman" w:eastAsia="ArialMT" w:hAnsi="Times New Roman" w:cs="Times New Roman"/>
          <w:b/>
          <w:bCs/>
          <w:sz w:val="24"/>
          <w:szCs w:val="24"/>
        </w:rPr>
        <w:t>cnetplot representing  top 10 significantly enriched molecular functions in the given  set of diabetic associated gene.</w:t>
      </w:r>
    </w:p>
    <w:p w:rsidR="006B083A" w:rsidRPr="002646EE" w:rsidRDefault="00CB2BBE" w:rsidP="00CB2BBE">
      <w:pPr>
        <w:spacing w:after="0" w:line="360" w:lineRule="auto"/>
        <w:jc w:val="both"/>
        <w:rPr>
          <w:rStyle w:val="NormalWebChar"/>
          <w:rFonts w:eastAsia="ArialMT"/>
        </w:rPr>
      </w:pPr>
      <w:r w:rsidRPr="002646EE">
        <w:rPr>
          <w:rFonts w:ascii="Times New Roman" w:hAnsi="Times New Roman" w:cs="Times New Roman"/>
          <w:sz w:val="24"/>
          <w:szCs w:val="24"/>
        </w:rPr>
        <w:t>NK and VA target 13 diabetes-associated genes, of which 12 genes, visualized in the above graph , are overrepresented in several molecular functions. antioxidant activity is enriched by 3 out of the 13 genes, growth factor activity by 3 genes, serine-type peptidase activity by 3 genes, metallopeptidase activity by 3 genes, receptor ligand activity by 4 genes, serine hydrolase activity  by 3 genes, signaling receptor activator activity by 4 genes, cytokine activity by 3 genes, cytokine receptor binding by 3 genes, and peptide binding by 3 genes. These Molecular functions are the top 10 enriched functions  in the given set of 13 genes</w:t>
      </w:r>
      <w:r w:rsidRPr="002646EE">
        <w:rPr>
          <w:rStyle w:val="NormalWebChar"/>
          <w:rFonts w:eastAsia="ArialMT"/>
        </w:rPr>
        <w:t>.</w:t>
      </w:r>
    </w:p>
    <w:p w:rsidR="006B083A" w:rsidRPr="002646EE" w:rsidRDefault="006B083A" w:rsidP="006B083A">
      <w:pPr>
        <w:spacing w:after="0" w:line="360" w:lineRule="auto"/>
        <w:jc w:val="both"/>
        <w:rPr>
          <w:rStyle w:val="NormalWebChar"/>
          <w:rFonts w:eastAsia="ArialMT"/>
        </w:rPr>
      </w:pPr>
      <w:r w:rsidRPr="002646EE">
        <w:rPr>
          <w:rStyle w:val="Heading3Char"/>
          <w:rFonts w:ascii="Times New Roman" w:hAnsi="Times New Roman" w:cs="Times New Roman"/>
          <w:noProof/>
          <w:lang w:eastAsia="en-IN"/>
        </w:rPr>
        <w:lastRenderedPageBreak/>
        <w:drawing>
          <wp:anchor distT="0" distB="0" distL="114300" distR="114300" simplePos="0" relativeHeight="251666432" behindDoc="0" locked="0" layoutInCell="1" allowOverlap="1" wp14:anchorId="5908D27E" wp14:editId="42801B91">
            <wp:simplePos x="0" y="0"/>
            <wp:positionH relativeFrom="column">
              <wp:posOffset>-914400</wp:posOffset>
            </wp:positionH>
            <wp:positionV relativeFrom="paragraph">
              <wp:posOffset>506095</wp:posOffset>
            </wp:positionV>
            <wp:extent cx="7523480" cy="5814060"/>
            <wp:effectExtent l="0" t="0" r="127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523480" cy="5814060"/>
                    </a:xfrm>
                    <a:prstGeom prst="rect">
                      <a:avLst/>
                    </a:prstGeom>
                  </pic:spPr>
                </pic:pic>
              </a:graphicData>
            </a:graphic>
            <wp14:sizeRelH relativeFrom="margin">
              <wp14:pctWidth>0</wp14:pctWidth>
            </wp14:sizeRelH>
            <wp14:sizeRelV relativeFrom="margin">
              <wp14:pctHeight>0</wp14:pctHeight>
            </wp14:sizeRelV>
          </wp:anchor>
        </w:drawing>
      </w:r>
      <w:bookmarkStart w:id="54" w:name="_Toc171420580"/>
      <w:r w:rsidR="00CB2BBE" w:rsidRPr="002646EE">
        <w:rPr>
          <w:rStyle w:val="Heading3Char"/>
          <w:rFonts w:ascii="Times New Roman" w:hAnsi="Times New Roman" w:cs="Times New Roman"/>
        </w:rPr>
        <w:t>10 Molecular functions enriched by diabetic associat</w:t>
      </w:r>
      <w:r w:rsidR="00C2168A">
        <w:rPr>
          <w:rStyle w:val="Heading3Char"/>
          <w:rFonts w:ascii="Times New Roman" w:hAnsi="Times New Roman" w:cs="Times New Roman"/>
        </w:rPr>
        <w:t>e</w:t>
      </w:r>
      <w:r w:rsidR="00CB2BBE" w:rsidRPr="002646EE">
        <w:rPr>
          <w:rStyle w:val="Heading3Char"/>
          <w:rFonts w:ascii="Times New Roman" w:hAnsi="Times New Roman" w:cs="Times New Roman"/>
        </w:rPr>
        <w:t>d genes exclusively targeted</w:t>
      </w:r>
      <w:r w:rsidRPr="002646EE">
        <w:rPr>
          <w:rStyle w:val="Heading3Char"/>
          <w:rFonts w:ascii="Times New Roman" w:hAnsi="Times New Roman" w:cs="Times New Roman"/>
        </w:rPr>
        <w:t xml:space="preserve"> by NK</w:t>
      </w:r>
      <w:bookmarkEnd w:id="54"/>
      <w:r w:rsidR="00236900" w:rsidRPr="002646EE">
        <w:rPr>
          <w:rFonts w:ascii="Times New Roman" w:eastAsia="ArialMT" w:hAnsi="Times New Roman" w:cs="Times New Roman"/>
          <w:b/>
          <w:bCs/>
          <w:sz w:val="24"/>
          <w:szCs w:val="24"/>
        </w:rPr>
        <w:t>.</w:t>
      </w:r>
    </w:p>
    <w:p w:rsidR="00D2094E" w:rsidRPr="002646EE" w:rsidRDefault="00D2094E" w:rsidP="006B083A">
      <w:pPr>
        <w:spacing w:after="0" w:line="360" w:lineRule="auto"/>
        <w:jc w:val="both"/>
        <w:rPr>
          <w:rStyle w:val="NormalWebChar"/>
          <w:rFonts w:eastAsia="ArialMT"/>
          <w:b/>
        </w:rPr>
      </w:pPr>
    </w:p>
    <w:p w:rsidR="006B083A" w:rsidRPr="002646EE" w:rsidRDefault="006B083A" w:rsidP="006B083A">
      <w:pPr>
        <w:spacing w:after="0" w:line="360" w:lineRule="auto"/>
        <w:jc w:val="both"/>
        <w:rPr>
          <w:rStyle w:val="NormalWebChar"/>
          <w:rFonts w:eastAsia="ArialMT"/>
          <w:b/>
        </w:rPr>
      </w:pPr>
      <w:r w:rsidRPr="002646EE">
        <w:rPr>
          <w:rStyle w:val="NormalWebChar"/>
          <w:rFonts w:eastAsia="ArialMT"/>
          <w:b/>
        </w:rPr>
        <w:t xml:space="preserve">FIGURE 13. </w:t>
      </w:r>
      <w:r w:rsidRPr="002646EE">
        <w:rPr>
          <w:rFonts w:ascii="Times New Roman" w:eastAsia="ArialMT" w:hAnsi="Times New Roman" w:cs="Times New Roman"/>
          <w:b/>
          <w:bCs/>
          <w:sz w:val="24"/>
          <w:szCs w:val="24"/>
        </w:rPr>
        <w:t>cnetplot representing  top 10 significantly enriched molecular functions in the given  set of diabetic associated gene.</w:t>
      </w:r>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Fonts w:ascii="Times New Roman" w:hAnsi="Times New Roman" w:cs="Times New Roman"/>
          <w:sz w:val="24"/>
          <w:szCs w:val="24"/>
        </w:rPr>
        <w:t>NK is exclusively  targeting 10 diabetes-associated genes, of which 9 genes, visualized in the graph above, are overrepresented in several molecular functions. antioxidant activity is enriched by 2 gene out of the10 gene, 1-phosphatidylinositol-3-kinase activity by 1 gene, alcohol dehydrogenase [NAD(P)+] activity  by 1gene, insulin receptor substrate binding by 1 gene, phosphatidylinositol 3-kinase activity by 1 gene, glutathione binding by 1gene, cytokine activity by 2gene, insulin-like growth factor I binding by 1 gene, oligopeptide binding by 1 gene, and aldehyde dehydrogenase (NAD+) activity by 1 gene. These  molecular functions are the top 10 enriched functions  in the given set of 10 genes</w:t>
      </w:r>
      <w:r w:rsidRPr="002646EE">
        <w:rPr>
          <w:rStyle w:val="NormalWebChar"/>
          <w:rFonts w:eastAsia="ArialMT"/>
        </w:rPr>
        <w:t>.</w:t>
      </w:r>
    </w:p>
    <w:p w:rsidR="00CB2BBE" w:rsidRPr="002646EE" w:rsidRDefault="00CB2BBE" w:rsidP="00CB2BBE">
      <w:pPr>
        <w:spacing w:after="0" w:line="360" w:lineRule="auto"/>
        <w:jc w:val="both"/>
        <w:rPr>
          <w:rFonts w:ascii="Times New Roman" w:eastAsia="ArialMT" w:hAnsi="Times New Roman" w:cs="Times New Roman"/>
          <w:b/>
          <w:bCs/>
          <w:sz w:val="24"/>
          <w:szCs w:val="24"/>
        </w:rPr>
      </w:pPr>
      <w:bookmarkStart w:id="55" w:name="_Toc171420581"/>
      <w:r w:rsidRPr="002646EE">
        <w:rPr>
          <w:rStyle w:val="Heading3Char"/>
          <w:rFonts w:ascii="Times New Roman" w:hAnsi="Times New Roman" w:cs="Times New Roman"/>
        </w:rPr>
        <w:lastRenderedPageBreak/>
        <w:t>10 Molecular functions enriched by diabetic associat</w:t>
      </w:r>
      <w:r w:rsidR="00C2168A">
        <w:rPr>
          <w:rStyle w:val="Heading3Char"/>
          <w:rFonts w:ascii="Times New Roman" w:hAnsi="Times New Roman" w:cs="Times New Roman"/>
        </w:rPr>
        <w:t>e</w:t>
      </w:r>
      <w:r w:rsidRPr="002646EE">
        <w:rPr>
          <w:rStyle w:val="Heading3Char"/>
          <w:rFonts w:ascii="Times New Roman" w:hAnsi="Times New Roman" w:cs="Times New Roman"/>
        </w:rPr>
        <w:t>d genes exclusively targeted by VA</w:t>
      </w:r>
      <w:bookmarkEnd w:id="55"/>
      <w:r w:rsidRPr="002646EE">
        <w:rPr>
          <w:rFonts w:ascii="Times New Roman" w:eastAsia="ArialMT" w:hAnsi="Times New Roman" w:cs="Times New Roman"/>
          <w:b/>
          <w:bCs/>
          <w:sz w:val="24"/>
          <w:szCs w:val="24"/>
        </w:rPr>
        <w:t>.</w:t>
      </w:r>
    </w:p>
    <w:p w:rsidR="00CB2BBE" w:rsidRPr="002646EE" w:rsidRDefault="00CB2BBE" w:rsidP="00CB2BBE">
      <w:pPr>
        <w:spacing w:after="0" w:line="360" w:lineRule="auto"/>
        <w:jc w:val="both"/>
        <w:rPr>
          <w:rFonts w:ascii="Times New Roman" w:eastAsia="ArialMT" w:hAnsi="Times New Roman" w:cs="Times New Roman"/>
          <w:b/>
          <w:bCs/>
          <w:sz w:val="24"/>
          <w:szCs w:val="24"/>
        </w:rPr>
      </w:pPr>
      <w:r w:rsidRPr="002646EE">
        <w:rPr>
          <w:rFonts w:ascii="Times New Roman" w:eastAsia="ArialMT" w:hAnsi="Times New Roman" w:cs="Times New Roman"/>
          <w:b/>
          <w:bCs/>
          <w:noProof/>
          <w:sz w:val="24"/>
          <w:szCs w:val="24"/>
          <w:lang w:eastAsia="en-IN"/>
        </w:rPr>
        <w:drawing>
          <wp:anchor distT="0" distB="0" distL="114300" distR="114300" simplePos="0" relativeHeight="251667456" behindDoc="0" locked="0" layoutInCell="1" allowOverlap="1" wp14:anchorId="47AE63D0" wp14:editId="0838101D">
            <wp:simplePos x="0" y="0"/>
            <wp:positionH relativeFrom="column">
              <wp:posOffset>-905510</wp:posOffset>
            </wp:positionH>
            <wp:positionV relativeFrom="paragraph">
              <wp:posOffset>219075</wp:posOffset>
            </wp:positionV>
            <wp:extent cx="7388860" cy="5435600"/>
            <wp:effectExtent l="0" t="0" r="254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88860" cy="5435600"/>
                    </a:xfrm>
                    <a:prstGeom prst="rect">
                      <a:avLst/>
                    </a:prstGeom>
                  </pic:spPr>
                </pic:pic>
              </a:graphicData>
            </a:graphic>
            <wp14:sizeRelH relativeFrom="margin">
              <wp14:pctWidth>0</wp14:pctWidth>
            </wp14:sizeRelH>
            <wp14:sizeRelV relativeFrom="margin">
              <wp14:pctHeight>0</wp14:pctHeight>
            </wp14:sizeRelV>
          </wp:anchor>
        </w:drawing>
      </w:r>
    </w:p>
    <w:p w:rsidR="00CB2BBE" w:rsidRPr="002646EE" w:rsidRDefault="00CB2BBE" w:rsidP="00CB2BBE">
      <w:pPr>
        <w:spacing w:after="0" w:line="360" w:lineRule="auto"/>
        <w:jc w:val="both"/>
        <w:rPr>
          <w:rFonts w:ascii="Times New Roman" w:eastAsia="ArialMT" w:hAnsi="Times New Roman" w:cs="Times New Roman"/>
          <w:b/>
          <w:bCs/>
          <w:sz w:val="24"/>
          <w:szCs w:val="24"/>
        </w:rPr>
      </w:pPr>
    </w:p>
    <w:p w:rsidR="006B083A" w:rsidRPr="002646EE" w:rsidRDefault="006B083A" w:rsidP="006B083A">
      <w:pPr>
        <w:spacing w:after="0" w:line="360" w:lineRule="auto"/>
        <w:jc w:val="both"/>
        <w:rPr>
          <w:rStyle w:val="NormalWebChar"/>
          <w:rFonts w:eastAsia="ArialMT"/>
          <w:b/>
        </w:rPr>
      </w:pPr>
      <w:r w:rsidRPr="002646EE">
        <w:rPr>
          <w:rStyle w:val="NormalWebChar"/>
          <w:rFonts w:eastAsia="ArialMT"/>
          <w:b/>
        </w:rPr>
        <w:t xml:space="preserve">FIGURE 14. </w:t>
      </w:r>
      <w:r w:rsidRPr="002646EE">
        <w:rPr>
          <w:rFonts w:ascii="Times New Roman" w:eastAsia="ArialMT" w:hAnsi="Times New Roman" w:cs="Times New Roman"/>
          <w:b/>
          <w:bCs/>
          <w:sz w:val="24"/>
          <w:szCs w:val="24"/>
        </w:rPr>
        <w:t>cnetplot representing  top 10 significantly enriched molecular functions in the given  set of diabetic associated gene.</w:t>
      </w:r>
    </w:p>
    <w:p w:rsidR="00CB2BBE" w:rsidRPr="002646EE" w:rsidRDefault="00CB2BBE" w:rsidP="00CB2BBE">
      <w:pPr>
        <w:spacing w:after="0" w:line="360" w:lineRule="auto"/>
        <w:jc w:val="both"/>
        <w:rPr>
          <w:rStyle w:val="NormalWebChar"/>
          <w:rFonts w:eastAsia="ArialMT"/>
        </w:rPr>
      </w:pPr>
      <w:r w:rsidRPr="002646EE">
        <w:rPr>
          <w:rFonts w:ascii="Times New Roman" w:hAnsi="Times New Roman" w:cs="Times New Roman"/>
          <w:sz w:val="24"/>
          <w:szCs w:val="24"/>
        </w:rPr>
        <w:t>VA is exclusively  targeting 3 diabetes-associated genes, of which 3 genes, visualized in the  above graph, are overrepresented</w:t>
      </w:r>
      <w:r w:rsidR="00765090" w:rsidRPr="002646EE">
        <w:rPr>
          <w:rFonts w:ascii="Times New Roman" w:hAnsi="Times New Roman" w:cs="Times New Roman"/>
          <w:sz w:val="24"/>
          <w:szCs w:val="24"/>
        </w:rPr>
        <w:t xml:space="preserve"> in</w:t>
      </w:r>
      <w:r w:rsidRPr="002646EE">
        <w:rPr>
          <w:rFonts w:ascii="Times New Roman" w:hAnsi="Times New Roman" w:cs="Times New Roman"/>
          <w:sz w:val="24"/>
          <w:szCs w:val="24"/>
        </w:rPr>
        <w:t>several molecular functions peptide binding is enriched by 2 out of the 3 genes, amide binding by 2 genes, S100 protein binding by 1 gene, chemoattractant activity by 1 gene, scavenger receptor activity by 1 gene, signal sequence binding by 1gene, peroxidase activity by 1 gene, NADP binding by 1 gene, oxidoreductase activity, acting on peroxide as acceptor by 1 gene, and hydrolase activity, acting on carbon-nitrogen (but not peptide) bonds, in linear amides by 1gene. These molecular functions  are the top 10 enriched functions  in the given set of 3 genes</w:t>
      </w:r>
      <w:r w:rsidRPr="002646EE">
        <w:rPr>
          <w:rStyle w:val="NormalWebChar"/>
          <w:rFonts w:eastAsia="ArialMT"/>
        </w:rPr>
        <w:t>.</w:t>
      </w:r>
    </w:p>
    <w:p w:rsidR="00CB2BBE" w:rsidRPr="002646EE" w:rsidRDefault="00CB2BBE" w:rsidP="00CB2BBE">
      <w:pPr>
        <w:spacing w:after="0" w:line="360" w:lineRule="auto"/>
        <w:jc w:val="both"/>
        <w:rPr>
          <w:rStyle w:val="NormalWebChar"/>
          <w:rFonts w:eastAsia="ArialMT"/>
        </w:rPr>
      </w:pPr>
    </w:p>
    <w:p w:rsidR="00CB2BBE" w:rsidRPr="002646EE" w:rsidRDefault="00CB2BBE" w:rsidP="002D6B34">
      <w:pPr>
        <w:pStyle w:val="Heading3"/>
        <w:rPr>
          <w:rStyle w:val="NormalWebChar"/>
          <w:rFonts w:eastAsia="ArialMT"/>
          <w:b/>
          <w:sz w:val="26"/>
          <w:szCs w:val="26"/>
        </w:rPr>
      </w:pPr>
      <w:bookmarkStart w:id="56" w:name="_Toc171420582"/>
      <w:r w:rsidRPr="002646EE">
        <w:rPr>
          <w:rStyle w:val="NormalWebChar"/>
          <w:rFonts w:eastAsia="ArialMT"/>
          <w:b/>
          <w:sz w:val="26"/>
          <w:szCs w:val="26"/>
        </w:rPr>
        <w:t>3.5 Gallic acid estimation in NK and VA</w:t>
      </w:r>
      <w:bookmarkEnd w:id="56"/>
    </w:p>
    <w:p w:rsidR="00CB2BBE" w:rsidRPr="002646EE" w:rsidRDefault="00CB2BBE" w:rsidP="00CB2BBE">
      <w:pPr>
        <w:spacing w:after="0" w:line="360" w:lineRule="auto"/>
        <w:jc w:val="both"/>
        <w:rPr>
          <w:rFonts w:ascii="Times New Roman" w:eastAsia="ArialMT" w:hAnsi="Times New Roman" w:cs="Times New Roman"/>
          <w:color w:val="000000" w:themeColor="text1"/>
          <w:sz w:val="24"/>
          <w:szCs w:val="24"/>
          <w:u w:val="single"/>
        </w:rPr>
      </w:pPr>
      <w:r w:rsidRPr="002646EE">
        <w:rPr>
          <w:rStyle w:val="NormalWebChar"/>
          <w:rFonts w:eastAsiaTheme="minorHAnsi"/>
        </w:rPr>
        <w:t>After averaging the absorbance values from triplicates of NK and VA and its controls, the difference between the average absorbance value of NK and its controls and VA and its control was calculated. Trend equation was applied to the different concentrations of standard,to the average values of absorbance, differenced value of NK and its control and same was done for VA and its control.</w:t>
      </w:r>
    </w:p>
    <w:p w:rsidR="00CB2BBE" w:rsidRPr="002646EE" w:rsidRDefault="004420DA" w:rsidP="00CB2BBE">
      <w:pPr>
        <w:autoSpaceDE w:val="0"/>
        <w:autoSpaceDN w:val="0"/>
        <w:adjustRightInd w:val="0"/>
        <w:spacing w:after="0" w:line="240" w:lineRule="auto"/>
        <w:rPr>
          <w:rFonts w:ascii="Times New Roman" w:eastAsia="ArialMT" w:hAnsi="Times New Roman" w:cs="Times New Roman"/>
          <w:color w:val="000000" w:themeColor="text1"/>
          <w:sz w:val="24"/>
          <w:szCs w:val="24"/>
          <w:u w:val="single"/>
        </w:rPr>
      </w:pPr>
      <w:r w:rsidRPr="002646EE">
        <w:rPr>
          <w:rFonts w:ascii="Times New Roman" w:hAnsi="Times New Roman" w:cs="Times New Roman"/>
          <w:noProof/>
          <w:sz w:val="24"/>
          <w:szCs w:val="24"/>
          <w:lang w:eastAsia="en-IN"/>
        </w:rPr>
        <w:drawing>
          <wp:inline distT="0" distB="0" distL="0" distR="0" wp14:anchorId="4086E4A5" wp14:editId="11FE6EE7">
            <wp:extent cx="5537200" cy="2590800"/>
            <wp:effectExtent l="0" t="0" r="635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33F77" w:rsidRPr="002646EE" w:rsidRDefault="00633F77" w:rsidP="004420DA">
      <w:pPr>
        <w:spacing w:after="0" w:line="360" w:lineRule="auto"/>
        <w:jc w:val="both"/>
        <w:rPr>
          <w:rFonts w:ascii="Times New Roman" w:eastAsia="ArialMT" w:hAnsi="Times New Roman" w:cs="Times New Roman"/>
          <w:color w:val="000000" w:themeColor="text1"/>
          <w:sz w:val="24"/>
          <w:szCs w:val="24"/>
          <w:u w:val="single"/>
        </w:rPr>
      </w:pPr>
    </w:p>
    <w:p w:rsidR="004420DA" w:rsidRPr="002646EE" w:rsidRDefault="004420DA" w:rsidP="004420DA">
      <w:pPr>
        <w:spacing w:after="0" w:line="360" w:lineRule="auto"/>
        <w:jc w:val="both"/>
        <w:rPr>
          <w:rFonts w:ascii="Times New Roman" w:eastAsia="ArialMT" w:hAnsi="Times New Roman" w:cs="Times New Roman"/>
          <w:b/>
          <w:color w:val="000000" w:themeColor="text1"/>
          <w:sz w:val="24"/>
          <w:szCs w:val="24"/>
          <w:u w:val="single"/>
        </w:rPr>
      </w:pPr>
      <w:r w:rsidRPr="002646EE">
        <w:rPr>
          <w:rFonts w:ascii="Times New Roman" w:eastAsia="ArialMT" w:hAnsi="Times New Roman" w:cs="Times New Roman"/>
          <w:b/>
          <w:sz w:val="24"/>
          <w:szCs w:val="24"/>
        </w:rPr>
        <w:t xml:space="preserve">FIGURE 15. </w:t>
      </w:r>
      <w:r w:rsidRPr="002646EE">
        <w:rPr>
          <w:rStyle w:val="NormalWebChar"/>
          <w:rFonts w:eastAsiaTheme="minorHAnsi"/>
          <w:b/>
        </w:rPr>
        <w:t>The average of trend value of three trials is considered as the concentration of gallic acid equivalents in the NK  is  determined to be 243.63µg/ml and in VA it is determined to be 275.83µg/ml.</w:t>
      </w:r>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2646EE">
        <w:rPr>
          <w:rStyle w:val="NormalWebChar"/>
          <w:rFonts w:eastAsiaTheme="minorHAnsi"/>
        </w:rPr>
        <w:t xml:space="preserve">The standard deviation  of the trend values for </w:t>
      </w:r>
      <w:r w:rsidRPr="002646EE">
        <w:rPr>
          <w:rFonts w:ascii="Times New Roman" w:eastAsia="ArialMT" w:hAnsi="Times New Roman" w:cs="Times New Roman"/>
          <w:color w:val="000000" w:themeColor="text1"/>
          <w:sz w:val="24"/>
          <w:szCs w:val="24"/>
        </w:rPr>
        <w:t xml:space="preserve">NK  and VA </w:t>
      </w:r>
      <w:r w:rsidRPr="002646EE">
        <w:rPr>
          <w:rStyle w:val="NormalWebChar"/>
          <w:rFonts w:eastAsiaTheme="minorHAnsi"/>
        </w:rPr>
        <w:t>is calculated based on the average trend value from three trials of NK and VA .The standard deviation  of the trend values for the NK is calculated as 14.02 µg/ml</w:t>
      </w:r>
      <w:r w:rsidRPr="002646EE">
        <w:rPr>
          <w:rFonts w:ascii="Times New Roman" w:eastAsia="ArialMT" w:hAnsi="Times New Roman" w:cs="Times New Roman"/>
          <w:color w:val="000000" w:themeColor="text1"/>
          <w:sz w:val="24"/>
          <w:szCs w:val="24"/>
        </w:rPr>
        <w:t xml:space="preserve"> and  for VA is 20.41µg/ml.</w:t>
      </w:r>
    </w:p>
    <w:p w:rsidR="006B083A" w:rsidRPr="002646EE" w:rsidRDefault="006B083A" w:rsidP="00CB2BBE">
      <w:pPr>
        <w:autoSpaceDE w:val="0"/>
        <w:autoSpaceDN w:val="0"/>
        <w:adjustRightInd w:val="0"/>
        <w:spacing w:after="0" w:line="240" w:lineRule="auto"/>
        <w:rPr>
          <w:rFonts w:ascii="Times New Roman" w:eastAsia="ArialMT" w:hAnsi="Times New Roman" w:cs="Times New Roman"/>
          <w:color w:val="000000" w:themeColor="text1"/>
          <w:sz w:val="24"/>
          <w:szCs w:val="24"/>
        </w:rPr>
      </w:pPr>
    </w:p>
    <w:p w:rsidR="0009727A" w:rsidRDefault="0009727A" w:rsidP="002D6B34">
      <w:pPr>
        <w:pStyle w:val="Heading2"/>
      </w:pPr>
    </w:p>
    <w:p w:rsidR="0009727A" w:rsidRDefault="0009727A" w:rsidP="0009727A">
      <w:pPr>
        <w:rPr>
          <w:lang w:eastAsia="en-IN"/>
        </w:rPr>
      </w:pPr>
    </w:p>
    <w:p w:rsidR="0009727A" w:rsidRDefault="0009727A" w:rsidP="0009727A">
      <w:pPr>
        <w:rPr>
          <w:lang w:eastAsia="en-IN"/>
        </w:rPr>
      </w:pPr>
    </w:p>
    <w:p w:rsidR="0009727A" w:rsidRDefault="0009727A" w:rsidP="0009727A">
      <w:pPr>
        <w:rPr>
          <w:lang w:eastAsia="en-IN"/>
        </w:rPr>
      </w:pPr>
    </w:p>
    <w:p w:rsidR="0009727A" w:rsidRDefault="0009727A" w:rsidP="0009727A">
      <w:pPr>
        <w:rPr>
          <w:lang w:eastAsia="en-IN"/>
        </w:rPr>
      </w:pPr>
    </w:p>
    <w:p w:rsidR="0009727A" w:rsidRDefault="0009727A" w:rsidP="0009727A">
      <w:pPr>
        <w:rPr>
          <w:lang w:eastAsia="en-IN"/>
        </w:rPr>
      </w:pPr>
    </w:p>
    <w:p w:rsidR="0009727A" w:rsidRDefault="0009727A" w:rsidP="0009727A">
      <w:pPr>
        <w:rPr>
          <w:lang w:eastAsia="en-IN"/>
        </w:rPr>
      </w:pPr>
    </w:p>
    <w:p w:rsidR="0009727A" w:rsidRPr="0009727A" w:rsidRDefault="0009727A" w:rsidP="0009727A">
      <w:pPr>
        <w:rPr>
          <w:lang w:eastAsia="en-IN"/>
        </w:rPr>
      </w:pPr>
    </w:p>
    <w:p w:rsidR="00CB2BBE" w:rsidRPr="002646EE" w:rsidRDefault="00CB2BBE" w:rsidP="002D6B34">
      <w:pPr>
        <w:pStyle w:val="Heading2"/>
      </w:pPr>
      <w:bookmarkStart w:id="57" w:name="_Toc171420583"/>
      <w:r w:rsidRPr="002646EE">
        <w:lastRenderedPageBreak/>
        <w:t>3.6 Lipase Inhibition by NK and VA</w:t>
      </w:r>
      <w:bookmarkEnd w:id="57"/>
      <w:r w:rsidRPr="002646EE">
        <w:t xml:space="preserve"> </w:t>
      </w:r>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rPr>
      </w:pPr>
      <w:r w:rsidRPr="002646EE">
        <w:rPr>
          <w:rFonts w:ascii="Times New Roman" w:hAnsi="Times New Roman" w:cs="Times New Roman"/>
          <w:noProof/>
          <w:sz w:val="24"/>
          <w:szCs w:val="24"/>
          <w:lang w:eastAsia="en-IN"/>
        </w:rPr>
        <w:drawing>
          <wp:inline distT="0" distB="0" distL="0" distR="0" wp14:anchorId="7CC106F0" wp14:editId="143411D6">
            <wp:extent cx="4457700" cy="2203450"/>
            <wp:effectExtent l="0" t="0" r="0" b="63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rPr>
      </w:pPr>
    </w:p>
    <w:p w:rsidR="00CB2BBE" w:rsidRPr="002646EE" w:rsidRDefault="00633F77" w:rsidP="00CB2BBE">
      <w:pPr>
        <w:autoSpaceDE w:val="0"/>
        <w:autoSpaceDN w:val="0"/>
        <w:adjustRightInd w:val="0"/>
        <w:spacing w:after="0" w:line="360" w:lineRule="auto"/>
        <w:rPr>
          <w:rStyle w:val="NormalWebChar"/>
          <w:rFonts w:eastAsia="ArialMT"/>
        </w:rPr>
      </w:pPr>
      <w:r w:rsidRPr="002646EE">
        <w:rPr>
          <w:rFonts w:ascii="Times New Roman" w:hAnsi="Times New Roman" w:cs="Times New Roman"/>
          <w:b/>
          <w:sz w:val="24"/>
          <w:szCs w:val="24"/>
        </w:rPr>
        <w:t>FIGURE 16.</w:t>
      </w:r>
      <w:r w:rsidRPr="002646EE">
        <w:rPr>
          <w:rStyle w:val="NormalWebChar"/>
          <w:rFonts w:eastAsiaTheme="minorHAnsi"/>
        </w:rPr>
        <w:t xml:space="preserve"> </w:t>
      </w:r>
      <w:r w:rsidR="00CB2BBE" w:rsidRPr="002646EE">
        <w:rPr>
          <w:rStyle w:val="NormalWebChar"/>
          <w:rFonts w:eastAsiaTheme="minorHAnsi"/>
        </w:rPr>
        <w:t>NK shows dose-dependent lipase inhibition, with the following percentages of inhibition (mean ± standard deviation): 96.9% ± 3.4% at 160 µg/GAE, 54.8% ± 11.4% at 80 µg/GAE, 38.7% ± 10.8% at 40 µg/GAE, 25.9% ± 14.7% at 20 µg/GAE, and 14.4% ± 18.6% at 10 µg/GAE</w:t>
      </w:r>
    </w:p>
    <w:p w:rsidR="006B083A" w:rsidRPr="002646EE" w:rsidRDefault="006B083A" w:rsidP="00CB2BBE">
      <w:pPr>
        <w:autoSpaceDE w:val="0"/>
        <w:autoSpaceDN w:val="0"/>
        <w:adjustRightInd w:val="0"/>
        <w:spacing w:after="0" w:line="360" w:lineRule="auto"/>
        <w:rPr>
          <w:rFonts w:ascii="Times New Roman" w:eastAsia="ArialMT" w:hAnsi="Times New Roman" w:cs="Times New Roman"/>
          <w:sz w:val="24"/>
          <w:szCs w:val="24"/>
        </w:rPr>
      </w:pPr>
      <w:r w:rsidRPr="002646EE">
        <w:rPr>
          <w:rFonts w:ascii="Times New Roman" w:hAnsi="Times New Roman" w:cs="Times New Roman"/>
          <w:noProof/>
          <w:sz w:val="24"/>
          <w:szCs w:val="24"/>
          <w:lang w:eastAsia="en-IN"/>
        </w:rPr>
        <w:drawing>
          <wp:anchor distT="0" distB="0" distL="114300" distR="114300" simplePos="0" relativeHeight="251677696" behindDoc="0" locked="0" layoutInCell="1" allowOverlap="1">
            <wp:simplePos x="0" y="0"/>
            <wp:positionH relativeFrom="column">
              <wp:posOffset>-88265</wp:posOffset>
            </wp:positionH>
            <wp:positionV relativeFrom="paragraph">
              <wp:posOffset>208280</wp:posOffset>
            </wp:positionV>
            <wp:extent cx="4472305" cy="2247265"/>
            <wp:effectExtent l="0" t="0" r="4445" b="63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6B083A" w:rsidRPr="002646EE" w:rsidRDefault="006B083A" w:rsidP="00CB2BBE">
      <w:pPr>
        <w:autoSpaceDE w:val="0"/>
        <w:autoSpaceDN w:val="0"/>
        <w:adjustRightInd w:val="0"/>
        <w:spacing w:after="0" w:line="360" w:lineRule="auto"/>
        <w:rPr>
          <w:rFonts w:ascii="Times New Roman" w:eastAsia="ArialMT" w:hAnsi="Times New Roman" w:cs="Times New Roman"/>
          <w:sz w:val="24"/>
          <w:szCs w:val="24"/>
        </w:rPr>
      </w:pPr>
    </w:p>
    <w:p w:rsidR="00633F77" w:rsidRPr="002646EE" w:rsidRDefault="00633F77" w:rsidP="00CB2BBE">
      <w:pPr>
        <w:autoSpaceDE w:val="0"/>
        <w:autoSpaceDN w:val="0"/>
        <w:adjustRightInd w:val="0"/>
        <w:spacing w:after="0" w:line="360" w:lineRule="auto"/>
        <w:rPr>
          <w:rStyle w:val="NormalWebChar"/>
          <w:rFonts w:eastAsia="ArialMT"/>
        </w:rPr>
      </w:pPr>
      <w:r w:rsidRPr="002646EE">
        <w:rPr>
          <w:rFonts w:ascii="Times New Roman" w:hAnsi="Times New Roman" w:cs="Times New Roman"/>
          <w:b/>
          <w:bCs/>
          <w:sz w:val="24"/>
          <w:szCs w:val="24"/>
        </w:rPr>
        <w:t xml:space="preserve">FIGURE 17. </w:t>
      </w:r>
      <w:r w:rsidR="00CB2BBE" w:rsidRPr="002646EE">
        <w:rPr>
          <w:rStyle w:val="NormalWebChar"/>
          <w:rFonts w:eastAsiaTheme="minorHAnsi"/>
        </w:rPr>
        <w:t>VA shows dose-dependent lipase inhibition, with the following percentages of inhibition (mean ± standard deviation): 98.7% ± 2.03% at 160 µg/GAE, 77.9% ± 7.95 % at 80 µg/GAE, 58.7% ± 3.8% at 40 µg/GAE, 40% ± 4.8% at 20 µg/GAE, and 26.7% ± 5.4% at 10 µg/GAE</w:t>
      </w:r>
    </w:p>
    <w:p w:rsidR="00633F77" w:rsidRPr="002646EE" w:rsidRDefault="00633F77" w:rsidP="00CB2BBE">
      <w:pPr>
        <w:autoSpaceDE w:val="0"/>
        <w:autoSpaceDN w:val="0"/>
        <w:adjustRightInd w:val="0"/>
        <w:spacing w:after="0" w:line="360" w:lineRule="auto"/>
        <w:rPr>
          <w:rStyle w:val="NormalWebChar"/>
          <w:rFonts w:eastAsia="ArialMT"/>
        </w:rPr>
      </w:pPr>
    </w:p>
    <w:p w:rsidR="00CB2BBE" w:rsidRPr="002646EE" w:rsidRDefault="0066548A" w:rsidP="0066548A">
      <w:pPr>
        <w:autoSpaceDE w:val="0"/>
        <w:autoSpaceDN w:val="0"/>
        <w:adjustRightInd w:val="0"/>
        <w:spacing w:after="0" w:line="360" w:lineRule="auto"/>
        <w:jc w:val="both"/>
        <w:rPr>
          <w:rStyle w:val="NormalWebChar"/>
          <w:rFonts w:eastAsia="ArialMT"/>
        </w:rPr>
      </w:pPr>
      <w:r w:rsidRPr="002646EE">
        <w:rPr>
          <w:rStyle w:val="NormalWebChar"/>
          <w:rFonts w:eastAsiaTheme="minorHAnsi"/>
        </w:rPr>
        <w:t>Comparison of lipase inhibition percentages between NK and VA reveals that VA exhibits greater lipase inhibition than NK at the same concentrations, in a dose-dependent manner.</w:t>
      </w:r>
      <w:r w:rsidRPr="002646EE">
        <w:rPr>
          <w:rStyle w:val="NormalWebChar"/>
          <w:rFonts w:eastAsia="ArialMT"/>
        </w:rPr>
        <w:t>(FIG16 and 17).</w:t>
      </w:r>
    </w:p>
    <w:p w:rsidR="00CB2BBE" w:rsidRPr="002646EE" w:rsidRDefault="00CB2BBE" w:rsidP="0066548A">
      <w:pPr>
        <w:autoSpaceDE w:val="0"/>
        <w:autoSpaceDN w:val="0"/>
        <w:adjustRightInd w:val="0"/>
        <w:spacing w:after="0" w:line="360" w:lineRule="auto"/>
        <w:rPr>
          <w:rFonts w:ascii="Times New Roman" w:eastAsia="ArialMT" w:hAnsi="Times New Roman" w:cs="Times New Roman"/>
          <w:b/>
          <w:sz w:val="24"/>
          <w:szCs w:val="24"/>
        </w:rPr>
      </w:pPr>
    </w:p>
    <w:p w:rsidR="00633F77" w:rsidRPr="002646EE" w:rsidRDefault="00633F77" w:rsidP="00CB2BBE">
      <w:pPr>
        <w:autoSpaceDE w:val="0"/>
        <w:autoSpaceDN w:val="0"/>
        <w:adjustRightInd w:val="0"/>
        <w:spacing w:after="0" w:line="240" w:lineRule="auto"/>
        <w:rPr>
          <w:rFonts w:ascii="Times New Roman" w:eastAsia="ArialMT" w:hAnsi="Times New Roman" w:cs="Times New Roman"/>
          <w:b/>
          <w:sz w:val="24"/>
          <w:szCs w:val="24"/>
        </w:rPr>
      </w:pPr>
    </w:p>
    <w:p w:rsidR="00CB2BBE" w:rsidRPr="002646EE" w:rsidRDefault="00CB2BBE" w:rsidP="002D6B34">
      <w:pPr>
        <w:pStyle w:val="Heading2"/>
        <w:rPr>
          <w:color w:val="000000" w:themeColor="text1" w:themeShade="BF"/>
          <w:u w:val="single"/>
        </w:rPr>
      </w:pPr>
      <w:bookmarkStart w:id="58" w:name="_Toc171420584"/>
      <w:r w:rsidRPr="002646EE">
        <w:t>3.7 MTT Assay</w:t>
      </w:r>
      <w:bookmarkEnd w:id="58"/>
    </w:p>
    <w:p w:rsidR="00CB2BBE" w:rsidRPr="002646EE" w:rsidRDefault="00CB2BBE" w:rsidP="00CB2BBE">
      <w:pPr>
        <w:autoSpaceDE w:val="0"/>
        <w:autoSpaceDN w:val="0"/>
        <w:adjustRightInd w:val="0"/>
        <w:spacing w:after="0" w:line="240" w:lineRule="auto"/>
        <w:rPr>
          <w:rFonts w:ascii="Times New Roman" w:eastAsia="ArialMT" w:hAnsi="Times New Roman" w:cs="Times New Roman"/>
          <w:b/>
          <w:sz w:val="24"/>
          <w:szCs w:val="24"/>
        </w:rPr>
      </w:pPr>
    </w:p>
    <w:p w:rsidR="00CB2BBE" w:rsidRPr="002646EE" w:rsidRDefault="00CB2BBE" w:rsidP="00D2094E">
      <w:pPr>
        <w:pStyle w:val="Heading3"/>
        <w:rPr>
          <w:rFonts w:ascii="Times New Roman" w:hAnsi="Times New Roman" w:cs="Times New Roman"/>
        </w:rPr>
      </w:pPr>
      <w:bookmarkStart w:id="59" w:name="_Toc171420585"/>
      <w:r w:rsidRPr="002646EE">
        <w:rPr>
          <w:rFonts w:ascii="Times New Roman" w:hAnsi="Times New Roman" w:cs="Times New Roman"/>
        </w:rPr>
        <w:t>STC-1 Cell viability on NK and VA  (2hrs)</w:t>
      </w:r>
      <w:bookmarkEnd w:id="59"/>
    </w:p>
    <w:p w:rsidR="00CB2BBE" w:rsidRPr="002646EE" w:rsidRDefault="00CB2BBE" w:rsidP="00CB2BBE">
      <w:pPr>
        <w:autoSpaceDE w:val="0"/>
        <w:autoSpaceDN w:val="0"/>
        <w:adjustRightInd w:val="0"/>
        <w:spacing w:after="0" w:line="360" w:lineRule="auto"/>
        <w:jc w:val="both"/>
        <w:rPr>
          <w:rStyle w:val="NormalWebChar"/>
          <w:rFonts w:eastAsia="ArialMT"/>
        </w:rPr>
      </w:pPr>
      <w:r w:rsidRPr="002646EE">
        <w:rPr>
          <w:rStyle w:val="NormalWebChar"/>
          <w:rFonts w:eastAsiaTheme="minorHAnsi"/>
        </w:rPr>
        <w:t>The percentage viability of the STC-1 cell line was determined at various concentrations (µg/ml) of NK and VA</w:t>
      </w:r>
    </w:p>
    <w:p w:rsidR="00CB2BBE" w:rsidRPr="002646EE" w:rsidRDefault="00CB2BBE" w:rsidP="005A03E0">
      <w:pPr>
        <w:autoSpaceDE w:val="0"/>
        <w:autoSpaceDN w:val="0"/>
        <w:adjustRightInd w:val="0"/>
        <w:spacing w:after="0" w:line="360" w:lineRule="auto"/>
        <w:rPr>
          <w:rFonts w:ascii="Times New Roman" w:eastAsia="ArialMT" w:hAnsi="Times New Roman" w:cs="Times New Roman"/>
          <w:sz w:val="24"/>
          <w:szCs w:val="24"/>
          <w:u w:val="single"/>
        </w:rPr>
      </w:pPr>
      <w:r w:rsidRPr="002646EE">
        <w:rPr>
          <w:rFonts w:ascii="Times New Roman" w:hAnsi="Times New Roman" w:cs="Times New Roman"/>
          <w:noProof/>
          <w:sz w:val="24"/>
          <w:szCs w:val="24"/>
          <w:lang w:eastAsia="en-IN"/>
        </w:rPr>
        <w:drawing>
          <wp:inline distT="0" distB="0" distL="0" distR="0" wp14:anchorId="79932569" wp14:editId="1D0F1E70">
            <wp:extent cx="5450840" cy="3039035"/>
            <wp:effectExtent l="0" t="0" r="1651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2BBE" w:rsidRPr="002646EE" w:rsidRDefault="00CB2BBE" w:rsidP="00CB2BBE">
      <w:pPr>
        <w:autoSpaceDE w:val="0"/>
        <w:autoSpaceDN w:val="0"/>
        <w:adjustRightInd w:val="0"/>
        <w:spacing w:after="0" w:line="360" w:lineRule="auto"/>
        <w:rPr>
          <w:rFonts w:ascii="Times New Roman" w:hAnsi="Times New Roman" w:cs="Times New Roman"/>
          <w:iCs/>
          <w:color w:val="000000"/>
          <w:sz w:val="24"/>
          <w:szCs w:val="24"/>
        </w:rPr>
      </w:pPr>
    </w:p>
    <w:p w:rsidR="00CB2BBE" w:rsidRPr="002646EE" w:rsidRDefault="00633F77" w:rsidP="00633F77">
      <w:pPr>
        <w:autoSpaceDE w:val="0"/>
        <w:autoSpaceDN w:val="0"/>
        <w:adjustRightInd w:val="0"/>
        <w:spacing w:after="0" w:line="360" w:lineRule="auto"/>
        <w:jc w:val="both"/>
        <w:rPr>
          <w:rStyle w:val="NormalWebChar"/>
          <w:rFonts w:eastAsiaTheme="minorHAnsi"/>
        </w:rPr>
      </w:pPr>
      <w:r w:rsidRPr="002646EE">
        <w:rPr>
          <w:rFonts w:ascii="Times New Roman" w:hAnsi="Times New Roman" w:cs="Times New Roman"/>
          <w:b/>
          <w:bCs/>
          <w:sz w:val="24"/>
          <w:szCs w:val="24"/>
        </w:rPr>
        <w:t>FIGURE 18.</w:t>
      </w:r>
      <w:r w:rsidRPr="002646EE">
        <w:rPr>
          <w:rStyle w:val="NormalWebChar"/>
          <w:rFonts w:eastAsiaTheme="minorHAnsi"/>
        </w:rPr>
        <w:t xml:space="preserve"> </w:t>
      </w:r>
      <w:r w:rsidR="00CB2BBE" w:rsidRPr="002646EE">
        <w:rPr>
          <w:rStyle w:val="NormalWebChar"/>
          <w:rFonts w:eastAsiaTheme="minorHAnsi"/>
        </w:rPr>
        <w:t xml:space="preserve">The cells treated with NK for 2 hours showed the following viability percentages (mean ± standard deviation): 14.7% ± 5.9% at 8 µg/ml, 34.4% ± 30.1% at 4 µg/ml, 76.16% ± 31.9% at 2 µg/ml, 106.2% ± 19% at 1 µg/ml, 102.5% ± 10% at 0.5 µg/ml, 107.5% ± 15.7% at 0.25 µg/ml, and 94.3% ± 5.27% at 0.125 µg/ml. </w:t>
      </w:r>
    </w:p>
    <w:p w:rsidR="00CB2BBE" w:rsidRPr="002646EE" w:rsidRDefault="00CB2BBE" w:rsidP="00633F77">
      <w:pPr>
        <w:autoSpaceDE w:val="0"/>
        <w:autoSpaceDN w:val="0"/>
        <w:adjustRightInd w:val="0"/>
        <w:spacing w:after="0" w:line="360" w:lineRule="auto"/>
        <w:jc w:val="both"/>
        <w:rPr>
          <w:rFonts w:ascii="Times New Roman" w:eastAsia="ArialMT" w:hAnsi="Times New Roman" w:cs="Times New Roman"/>
          <w:i/>
          <w:iCs/>
          <w:sz w:val="24"/>
          <w:szCs w:val="24"/>
          <w:u w:val="single"/>
        </w:rPr>
      </w:pPr>
      <w:r w:rsidRPr="002646EE">
        <w:rPr>
          <w:rStyle w:val="NormalWebChar"/>
          <w:rFonts w:eastAsiaTheme="minorHAnsi"/>
        </w:rPr>
        <w:t>The cells treated with VA for 2 hours showed the following viability percentages (mean ± standard deviation): 14.03% ± 7.2% at 8 µg/ml, 11.9% ± 4.4% at 4 µg/ml, 38.8% ± 30.9% at 2 µg/ml, 98.5% ± 24.7% at 1 µg/ml, 112.6% ± 19% at 0.5 µg/ml, 113.9% ± 15.4% at 0.25 µg/ml, and 107.8% ± 7.5% at 0.125 µg/ml</w:t>
      </w:r>
      <w:r w:rsidRPr="002646EE">
        <w:rPr>
          <w:rFonts w:ascii="Times New Roman" w:eastAsia="ArialMT" w:hAnsi="Times New Roman" w:cs="Times New Roman"/>
          <w:iCs/>
          <w:sz w:val="24"/>
          <w:szCs w:val="24"/>
          <w:u w:val="single"/>
        </w:rPr>
        <w:t>.</w:t>
      </w:r>
    </w:p>
    <w:p w:rsidR="0066548A" w:rsidRPr="002646EE" w:rsidRDefault="0066548A" w:rsidP="00633F77">
      <w:pPr>
        <w:autoSpaceDE w:val="0"/>
        <w:autoSpaceDN w:val="0"/>
        <w:adjustRightInd w:val="0"/>
        <w:spacing w:after="0" w:line="360" w:lineRule="auto"/>
        <w:jc w:val="both"/>
        <w:rPr>
          <w:rFonts w:ascii="Times New Roman" w:eastAsia="ArialMT" w:hAnsi="Times New Roman" w:cs="Times New Roman"/>
          <w:i/>
          <w:iCs/>
          <w:sz w:val="24"/>
          <w:szCs w:val="24"/>
          <w:u w:val="single"/>
        </w:rPr>
      </w:pPr>
    </w:p>
    <w:p w:rsidR="00CB2BBE" w:rsidRPr="002646EE" w:rsidRDefault="005A03E0" w:rsidP="005A03E0">
      <w:pPr>
        <w:autoSpaceDE w:val="0"/>
        <w:autoSpaceDN w:val="0"/>
        <w:adjustRightInd w:val="0"/>
        <w:spacing w:after="0" w:line="360" w:lineRule="auto"/>
        <w:rPr>
          <w:rStyle w:val="NormalWebChar"/>
          <w:rFonts w:eastAsia="ArialMT"/>
        </w:rPr>
      </w:pPr>
      <w:r w:rsidRPr="002646EE">
        <w:rPr>
          <w:rStyle w:val="NormalWebChar"/>
          <w:rFonts w:eastAsiaTheme="minorHAnsi"/>
        </w:rPr>
        <w:t>At concentrations of 8 µg/GAE, 4 µg/GAE, and 2 µg/GAE, both NK and VA are toxic to the STC-1 cell line. From 1 µg/GAE to 0.125 µg/GAE, the cells remain viable.</w:t>
      </w:r>
    </w:p>
    <w:p w:rsidR="00CB2BBE" w:rsidRPr="002646EE" w:rsidRDefault="00CB2BBE" w:rsidP="005A03E0">
      <w:pPr>
        <w:autoSpaceDE w:val="0"/>
        <w:autoSpaceDN w:val="0"/>
        <w:adjustRightInd w:val="0"/>
        <w:spacing w:after="0" w:line="360" w:lineRule="auto"/>
        <w:rPr>
          <w:rFonts w:ascii="Times New Roman" w:eastAsia="ArialMT" w:hAnsi="Times New Roman" w:cs="Times New Roman"/>
          <w:sz w:val="24"/>
          <w:szCs w:val="24"/>
          <w:u w:val="single"/>
        </w:rPr>
      </w:pPr>
    </w:p>
    <w:p w:rsidR="007F4C0C" w:rsidRPr="002646EE" w:rsidRDefault="007F4C0C" w:rsidP="00CB2BBE">
      <w:pPr>
        <w:autoSpaceDE w:val="0"/>
        <w:autoSpaceDN w:val="0"/>
        <w:adjustRightInd w:val="0"/>
        <w:spacing w:after="0" w:line="240" w:lineRule="auto"/>
        <w:rPr>
          <w:rFonts w:ascii="Times New Roman" w:eastAsia="ArialMT" w:hAnsi="Times New Roman" w:cs="Times New Roman"/>
          <w:b/>
          <w:sz w:val="24"/>
          <w:szCs w:val="24"/>
        </w:rPr>
      </w:pPr>
    </w:p>
    <w:p w:rsidR="007F4C0C" w:rsidRPr="002646EE" w:rsidRDefault="007F4C0C" w:rsidP="00CB2BBE">
      <w:pPr>
        <w:autoSpaceDE w:val="0"/>
        <w:autoSpaceDN w:val="0"/>
        <w:adjustRightInd w:val="0"/>
        <w:spacing w:after="0" w:line="240" w:lineRule="auto"/>
        <w:rPr>
          <w:rFonts w:ascii="Times New Roman" w:eastAsia="ArialMT" w:hAnsi="Times New Roman" w:cs="Times New Roman"/>
          <w:b/>
          <w:sz w:val="24"/>
          <w:szCs w:val="24"/>
        </w:rPr>
      </w:pPr>
    </w:p>
    <w:p w:rsidR="007F4C0C" w:rsidRPr="002646EE" w:rsidRDefault="007F4C0C" w:rsidP="00CB2BBE">
      <w:pPr>
        <w:autoSpaceDE w:val="0"/>
        <w:autoSpaceDN w:val="0"/>
        <w:adjustRightInd w:val="0"/>
        <w:spacing w:after="0" w:line="240" w:lineRule="auto"/>
        <w:rPr>
          <w:rFonts w:ascii="Times New Roman" w:eastAsia="ArialMT" w:hAnsi="Times New Roman" w:cs="Times New Roman"/>
          <w:b/>
          <w:sz w:val="24"/>
          <w:szCs w:val="24"/>
        </w:rPr>
      </w:pPr>
    </w:p>
    <w:p w:rsidR="007F4C0C" w:rsidRPr="002646EE" w:rsidRDefault="007F4C0C" w:rsidP="00CB2BBE">
      <w:pPr>
        <w:autoSpaceDE w:val="0"/>
        <w:autoSpaceDN w:val="0"/>
        <w:adjustRightInd w:val="0"/>
        <w:spacing w:after="0" w:line="240" w:lineRule="auto"/>
        <w:rPr>
          <w:rFonts w:ascii="Times New Roman" w:eastAsia="ArialMT" w:hAnsi="Times New Roman" w:cs="Times New Roman"/>
          <w:b/>
          <w:sz w:val="24"/>
          <w:szCs w:val="24"/>
        </w:rPr>
      </w:pPr>
    </w:p>
    <w:p w:rsidR="007F4C0C" w:rsidRPr="002646EE" w:rsidRDefault="007F4C0C" w:rsidP="00CB2BBE">
      <w:pPr>
        <w:autoSpaceDE w:val="0"/>
        <w:autoSpaceDN w:val="0"/>
        <w:adjustRightInd w:val="0"/>
        <w:spacing w:after="0" w:line="240" w:lineRule="auto"/>
        <w:rPr>
          <w:rFonts w:ascii="Times New Roman" w:eastAsia="ArialMT" w:hAnsi="Times New Roman" w:cs="Times New Roman"/>
          <w:b/>
          <w:sz w:val="24"/>
          <w:szCs w:val="24"/>
        </w:rPr>
      </w:pPr>
    </w:p>
    <w:p w:rsidR="00CB2BBE" w:rsidRPr="002646EE" w:rsidRDefault="00672D8C" w:rsidP="00D2094E">
      <w:pPr>
        <w:pStyle w:val="Heading3"/>
        <w:rPr>
          <w:rFonts w:ascii="Times New Roman" w:hAnsi="Times New Roman" w:cs="Times New Roman"/>
        </w:rPr>
      </w:pPr>
      <w:bookmarkStart w:id="60" w:name="_Toc171420586"/>
      <w:r w:rsidRPr="002646EE">
        <w:rPr>
          <w:rFonts w:ascii="Times New Roman" w:hAnsi="Times New Roman" w:cs="Times New Roman"/>
        </w:rPr>
        <w:lastRenderedPageBreak/>
        <w:t>CaC</w:t>
      </w:r>
      <w:r w:rsidR="00CB2BBE" w:rsidRPr="002646EE">
        <w:rPr>
          <w:rFonts w:ascii="Times New Roman" w:hAnsi="Times New Roman" w:cs="Times New Roman"/>
        </w:rPr>
        <w:t xml:space="preserve">o-2 cell viability on co-treatment of PA &amp; </w:t>
      </w:r>
      <w:r w:rsidR="00CB2BBE" w:rsidRPr="002646EE">
        <w:rPr>
          <w:rFonts w:ascii="Times New Roman" w:hAnsi="Times New Roman" w:cs="Times New Roman"/>
          <w:i/>
          <w:iCs/>
        </w:rPr>
        <w:t>NK</w:t>
      </w:r>
      <w:bookmarkEnd w:id="60"/>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u w:val="single"/>
          <w:lang w:val="en-US"/>
        </w:rPr>
      </w:pPr>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u w:val="single"/>
          <w:lang w:val="en-US"/>
        </w:rPr>
      </w:pPr>
      <w:r w:rsidRPr="002646EE">
        <w:rPr>
          <w:rFonts w:ascii="Times New Roman" w:hAnsi="Times New Roman" w:cs="Times New Roman"/>
          <w:noProof/>
          <w:sz w:val="24"/>
          <w:szCs w:val="24"/>
          <w:lang w:eastAsia="en-IN"/>
        </w:rPr>
        <w:drawing>
          <wp:inline distT="0" distB="0" distL="0" distR="0" wp14:anchorId="3EEF4DFD" wp14:editId="7D8FB8ED">
            <wp:extent cx="5731510" cy="2735580"/>
            <wp:effectExtent l="0" t="0" r="2540" b="762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rPr>
      </w:pPr>
    </w:p>
    <w:p w:rsidR="00CB2BBE" w:rsidRPr="002646EE" w:rsidRDefault="00E9163B" w:rsidP="00CB2BBE">
      <w:pPr>
        <w:autoSpaceDE w:val="0"/>
        <w:autoSpaceDN w:val="0"/>
        <w:adjustRightInd w:val="0"/>
        <w:spacing w:after="0" w:line="360" w:lineRule="auto"/>
        <w:jc w:val="both"/>
        <w:rPr>
          <w:rStyle w:val="NormalWebChar"/>
          <w:rFonts w:eastAsia="ArialMT"/>
        </w:rPr>
      </w:pPr>
      <w:r w:rsidRPr="002646EE">
        <w:rPr>
          <w:rFonts w:ascii="Times New Roman" w:hAnsi="Times New Roman" w:cs="Times New Roman"/>
          <w:b/>
          <w:bCs/>
          <w:sz w:val="24"/>
          <w:szCs w:val="24"/>
        </w:rPr>
        <w:t>FIGURE 19</w:t>
      </w:r>
      <w:r w:rsidR="00633F77" w:rsidRPr="002646EE">
        <w:rPr>
          <w:rFonts w:ascii="Times New Roman" w:hAnsi="Times New Roman" w:cs="Times New Roman"/>
          <w:b/>
          <w:bCs/>
          <w:sz w:val="24"/>
          <w:szCs w:val="24"/>
        </w:rPr>
        <w:t>.</w:t>
      </w:r>
      <w:r w:rsidR="00CB2BBE" w:rsidRPr="002646EE">
        <w:rPr>
          <w:rStyle w:val="NormalWebChar"/>
          <w:rFonts w:eastAsiaTheme="minorHAnsi"/>
        </w:rPr>
        <w:t>The cells treated with 1 mM PA for 24 hours, followed by treatment with NK for the next 24 hours at different concentrations, showed the following viability percentages (mean ± standard deviation): 76.9% ± 2.9% with 1 mM PA alone, 83.1% ± 6.1% with 1 µg/ml NK, 77% ± 5% with 0.5 µg/ml NK, and 80.1% ± 7.6% with 0.25 µg/ml NK.</w:t>
      </w:r>
    </w:p>
    <w:p w:rsidR="007F4C0C" w:rsidRPr="002646EE" w:rsidRDefault="007F4C0C" w:rsidP="00CB2BBE">
      <w:pPr>
        <w:autoSpaceDE w:val="0"/>
        <w:autoSpaceDN w:val="0"/>
        <w:adjustRightInd w:val="0"/>
        <w:spacing w:after="0" w:line="240" w:lineRule="auto"/>
        <w:rPr>
          <w:rFonts w:ascii="Times New Roman" w:eastAsia="ArialMT" w:hAnsi="Times New Roman" w:cs="Times New Roman"/>
          <w:i/>
          <w:sz w:val="24"/>
          <w:szCs w:val="24"/>
        </w:rPr>
      </w:pPr>
    </w:p>
    <w:p w:rsidR="00CB2BBE" w:rsidRPr="002646EE" w:rsidRDefault="00672D8C" w:rsidP="00D2094E">
      <w:pPr>
        <w:pStyle w:val="Heading3"/>
        <w:rPr>
          <w:rFonts w:ascii="Times New Roman" w:hAnsi="Times New Roman" w:cs="Times New Roman"/>
        </w:rPr>
      </w:pPr>
      <w:bookmarkStart w:id="61" w:name="_Toc171420587"/>
      <w:r w:rsidRPr="002646EE">
        <w:rPr>
          <w:rFonts w:ascii="Times New Roman" w:hAnsi="Times New Roman" w:cs="Times New Roman"/>
        </w:rPr>
        <w:t>CaC</w:t>
      </w:r>
      <w:r w:rsidR="00CB2BBE" w:rsidRPr="002646EE">
        <w:rPr>
          <w:rFonts w:ascii="Times New Roman" w:hAnsi="Times New Roman" w:cs="Times New Roman"/>
        </w:rPr>
        <w:t xml:space="preserve">o-2 cell viability on co-treatment of PA </w:t>
      </w:r>
      <w:r w:rsidRPr="002646EE">
        <w:rPr>
          <w:rFonts w:ascii="Times New Roman" w:hAnsi="Times New Roman" w:cs="Times New Roman"/>
        </w:rPr>
        <w:t>&amp; VA</w:t>
      </w:r>
      <w:bookmarkEnd w:id="61"/>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i/>
          <w:sz w:val="24"/>
          <w:szCs w:val="24"/>
        </w:rPr>
      </w:pPr>
    </w:p>
    <w:p w:rsidR="00CB2BBE" w:rsidRPr="002646EE" w:rsidRDefault="00CB2BBE" w:rsidP="00CB2BBE">
      <w:pPr>
        <w:autoSpaceDE w:val="0"/>
        <w:autoSpaceDN w:val="0"/>
        <w:adjustRightInd w:val="0"/>
        <w:spacing w:after="0" w:line="360" w:lineRule="auto"/>
        <w:jc w:val="both"/>
        <w:rPr>
          <w:rFonts w:ascii="Times New Roman" w:eastAsia="ArialMT" w:hAnsi="Times New Roman" w:cs="Times New Roman"/>
          <w:i/>
          <w:iCs/>
          <w:color w:val="000000"/>
          <w:sz w:val="24"/>
          <w:szCs w:val="24"/>
        </w:rPr>
      </w:pPr>
      <w:r w:rsidRPr="002646EE">
        <w:rPr>
          <w:rFonts w:ascii="Times New Roman" w:hAnsi="Times New Roman" w:cs="Times New Roman"/>
          <w:noProof/>
          <w:sz w:val="24"/>
          <w:szCs w:val="24"/>
          <w:lang w:eastAsia="en-IN"/>
        </w:rPr>
        <w:drawing>
          <wp:inline distT="0" distB="0" distL="0" distR="0" wp14:anchorId="0DB64A05" wp14:editId="25426747">
            <wp:extent cx="5731510" cy="2877185"/>
            <wp:effectExtent l="0" t="0" r="2540" b="184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646EE">
        <w:rPr>
          <w:rFonts w:ascii="Times New Roman" w:eastAsia="ArialMT" w:hAnsi="Times New Roman" w:cs="Times New Roman"/>
          <w:i/>
          <w:iCs/>
          <w:color w:val="000000"/>
          <w:sz w:val="24"/>
          <w:szCs w:val="24"/>
        </w:rPr>
        <w:t xml:space="preserve">  </w:t>
      </w:r>
    </w:p>
    <w:p w:rsidR="00CB2BBE" w:rsidRPr="002646EE" w:rsidRDefault="00E9163B"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hAnsi="Times New Roman" w:cs="Times New Roman"/>
          <w:b/>
          <w:bCs/>
          <w:sz w:val="24"/>
          <w:szCs w:val="24"/>
        </w:rPr>
        <w:t>FIGURE 20</w:t>
      </w:r>
      <w:r w:rsidR="00AF12C2" w:rsidRPr="002646EE">
        <w:rPr>
          <w:rFonts w:ascii="Times New Roman" w:hAnsi="Times New Roman" w:cs="Times New Roman"/>
          <w:b/>
          <w:bCs/>
          <w:sz w:val="24"/>
          <w:szCs w:val="24"/>
        </w:rPr>
        <w:t>.</w:t>
      </w:r>
      <w:r w:rsidR="00AF12C2" w:rsidRPr="002646EE">
        <w:rPr>
          <w:rFonts w:ascii="Times New Roman" w:hAnsi="Times New Roman" w:cs="Times New Roman"/>
          <w:sz w:val="24"/>
          <w:szCs w:val="24"/>
        </w:rPr>
        <w:t xml:space="preserve"> </w:t>
      </w:r>
      <w:r w:rsidR="00CB2BBE" w:rsidRPr="002646EE">
        <w:rPr>
          <w:rFonts w:ascii="Times New Roman" w:hAnsi="Times New Roman" w:cs="Times New Roman"/>
          <w:sz w:val="24"/>
          <w:szCs w:val="24"/>
        </w:rPr>
        <w:t xml:space="preserve">The cells treated with 1 mM PA for 24 hours, followed by treatment with VA for the next 24 hours at different concentrations, showed the following viability percentages (mean </w:t>
      </w:r>
      <w:r w:rsidR="00CB2BBE" w:rsidRPr="002646EE">
        <w:rPr>
          <w:rFonts w:ascii="Times New Roman" w:hAnsi="Times New Roman" w:cs="Times New Roman"/>
          <w:sz w:val="24"/>
          <w:szCs w:val="24"/>
        </w:rPr>
        <w:lastRenderedPageBreak/>
        <w:t>± standard deviation): 81.5%±12.5% with 1 mM PA alone, 87.4%±17.2% with 1 µg/ml VA, 88%±17.8% with 0.5 µg/ml VA, and 94.5%±17.5% with 0.25 µg/ml VA.</w:t>
      </w:r>
    </w:p>
    <w:p w:rsidR="00AF12C2" w:rsidRPr="002646EE" w:rsidRDefault="00AF12C2" w:rsidP="00CB2BBE">
      <w:pPr>
        <w:autoSpaceDE w:val="0"/>
        <w:autoSpaceDN w:val="0"/>
        <w:adjustRightInd w:val="0"/>
        <w:spacing w:after="0" w:line="360" w:lineRule="auto"/>
        <w:jc w:val="both"/>
        <w:rPr>
          <w:rFonts w:ascii="Times New Roman" w:eastAsia="ArialMT" w:hAnsi="Times New Roman" w:cs="Times New Roman"/>
          <w:sz w:val="24"/>
          <w:szCs w:val="24"/>
        </w:rPr>
      </w:pPr>
    </w:p>
    <w:p w:rsidR="00AF12C2" w:rsidRDefault="00AF12C2" w:rsidP="00CB2BBE">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hAnsi="Times New Roman" w:cs="Times New Roman"/>
          <w:sz w:val="24"/>
          <w:szCs w:val="24"/>
        </w:rPr>
        <w:t>Upon treatment with 1 mM palmitate, cell viability decreases compared to the control. However, cell viability improves with NK and VA treatment. Notably, 1 µg/GAE of NK shows higher viability than other NK concentrations, while 0.25 µg/GAE of VA shows higher viability than other VA concentrations</w:t>
      </w:r>
      <w:r w:rsidR="0032167F" w:rsidRPr="002646EE">
        <w:rPr>
          <w:rFonts w:ascii="Times New Roman" w:hAnsi="Times New Roman" w:cs="Times New Roman"/>
          <w:sz w:val="24"/>
          <w:szCs w:val="24"/>
        </w:rPr>
        <w:t xml:space="preserve"> (FIG 20 &amp; 21)</w:t>
      </w:r>
      <w:r w:rsidRPr="002646EE">
        <w:rPr>
          <w:rFonts w:ascii="Times New Roman" w:hAnsi="Times New Roman" w:cs="Times New Roman"/>
          <w:sz w:val="24"/>
          <w:szCs w:val="24"/>
        </w:rPr>
        <w:t>.</w:t>
      </w:r>
    </w:p>
    <w:p w:rsidR="00F4438A" w:rsidRPr="00DB7189" w:rsidRDefault="00F4438A" w:rsidP="00DB7189">
      <w:pPr>
        <w:pStyle w:val="Heading2"/>
      </w:pPr>
    </w:p>
    <w:p w:rsidR="00F4438A" w:rsidRPr="00DB7189" w:rsidRDefault="00DB7189" w:rsidP="00DB7189">
      <w:pPr>
        <w:pStyle w:val="Heading2"/>
      </w:pPr>
      <w:bookmarkStart w:id="62" w:name="_Toc171420588"/>
      <w:r>
        <w:t xml:space="preserve">3.8 </w:t>
      </w:r>
      <w:r w:rsidR="00F4438A" w:rsidRPr="00DB7189">
        <w:t>DPP4 Estimation from CaCo2 Cell Line</w:t>
      </w:r>
      <w:bookmarkEnd w:id="62"/>
    </w:p>
    <w:p w:rsidR="00F4438A" w:rsidRDefault="006A5663" w:rsidP="00F4438A">
      <w:pPr>
        <w:spacing w:before="100" w:beforeAutospacing="1" w:after="100" w:afterAutospacing="1" w:line="240" w:lineRule="auto"/>
        <w:jc w:val="both"/>
        <w:outlineLvl w:val="2"/>
        <w:rPr>
          <w:rFonts w:ascii="Times New Roman" w:eastAsia="Times New Roman" w:hAnsi="Times New Roman" w:cs="Times New Roman"/>
          <w:b/>
          <w:bCs/>
          <w:sz w:val="26"/>
          <w:szCs w:val="26"/>
          <w:lang w:eastAsia="en-IN"/>
        </w:rPr>
      </w:pPr>
      <w:bookmarkStart w:id="63" w:name="_Toc169731458"/>
      <w:bookmarkStart w:id="64" w:name="_Toc169731588"/>
      <w:bookmarkStart w:id="65" w:name="_Toc169732833"/>
      <w:bookmarkStart w:id="66" w:name="_Toc171420589"/>
      <w:r>
        <w:rPr>
          <w:noProof/>
          <w:lang w:eastAsia="en-IN"/>
        </w:rPr>
        <w:drawing>
          <wp:inline distT="0" distB="0" distL="0" distR="0" wp14:anchorId="0C773756" wp14:editId="1B65BCE4">
            <wp:extent cx="5731510" cy="2730500"/>
            <wp:effectExtent l="0" t="0" r="2540" b="12700"/>
            <wp:docPr id="3" name="Chart 3">
              <a:extLst xmlns:a="http://schemas.openxmlformats.org/drawingml/2006/main">
                <a:ext uri="{FF2B5EF4-FFF2-40B4-BE49-F238E27FC236}">
                  <a16:creationId xmlns:a16="http://schemas.microsoft.com/office/drawing/2014/main" id="{C9D88FB2-0D93-E1A2-8833-8CC49B3F0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63"/>
      <w:bookmarkEnd w:id="64"/>
      <w:bookmarkEnd w:id="65"/>
      <w:bookmarkEnd w:id="66"/>
    </w:p>
    <w:p w:rsidR="006A5663" w:rsidRPr="00E97480" w:rsidRDefault="00E97480" w:rsidP="00E97480">
      <w:pPr>
        <w:spacing w:before="100" w:beforeAutospacing="1" w:after="100" w:afterAutospacing="1" w:line="360" w:lineRule="auto"/>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67" w:name="_Toc169731459"/>
      <w:bookmarkStart w:id="68" w:name="_Toc169731589"/>
      <w:bookmarkStart w:id="69" w:name="_Toc169732834"/>
      <w:bookmarkStart w:id="70" w:name="_Toc171420590"/>
      <w:r w:rsidRPr="00E97480">
        <w:rPr>
          <w:rFonts w:ascii="Times New Roman" w:hAnsi="Times New Roman" w:cs="Times New Roman"/>
          <w:b/>
          <w:color w:val="000000" w:themeColor="text1"/>
          <w:sz w:val="24"/>
          <w:szCs w:val="24"/>
        </w:rPr>
        <w:t>FIGURE 21.</w:t>
      </w:r>
      <w:r>
        <w:rPr>
          <w:rFonts w:ascii="Times New Roman" w:hAnsi="Times New Roman" w:cs="Times New Roman"/>
          <w:color w:val="000000" w:themeColor="text1"/>
          <w:sz w:val="24"/>
          <w:szCs w:val="24"/>
        </w:rPr>
        <w:t xml:space="preserve"> </w:t>
      </w:r>
      <w:r w:rsidRPr="00E97480">
        <w:rPr>
          <w:rFonts w:ascii="Times New Roman" w:hAnsi="Times New Roman" w:cs="Times New Roman"/>
          <w:color w:val="000000" w:themeColor="text1"/>
          <w:sz w:val="24"/>
          <w:szCs w:val="24"/>
        </w:rPr>
        <w:t>Treatment of CaCo2 cells with NK and VA formulations resulted in a dose-dependent decrease in DPP4 secretion. Specifically, NK at 1 µg/mL showed 84.9% DPP4 secretion, while higher concentrations of 2 µg/mL and 4 µg/mL resulted in 55% and 54.8% secretion, respectively. Similarly, VA at 1 µg/mL showed 61.4% DPP4 secretion, and higher concentrations of 2 µg/mL and 4 µg/mL resulted in 49.4% and 53% secretion, respectively. Sitagliptin, used as a positive control, showed a significant reduction in DPP4 secretion to 33%. The untreated control cells exhibited 100% DPP4 secretion</w:t>
      </w:r>
      <w:r>
        <w:t>.</w:t>
      </w:r>
      <w:bookmarkEnd w:id="67"/>
      <w:bookmarkEnd w:id="68"/>
      <w:bookmarkEnd w:id="69"/>
      <w:bookmarkEnd w:id="70"/>
      <w:r>
        <w:rPr>
          <w:rFonts w:ascii="Times New Roman" w:eastAsia="Times New Roman" w:hAnsi="Times New Roman" w:cs="Times New Roman"/>
          <w:b/>
          <w:bCs/>
          <w:sz w:val="24"/>
          <w:szCs w:val="26"/>
          <w:lang w:eastAsia="en-IN"/>
        </w:rPr>
        <w:t xml:space="preserve"> </w:t>
      </w:r>
    </w:p>
    <w:p w:rsidR="006A5663" w:rsidRPr="00F4438A" w:rsidRDefault="006A5663" w:rsidP="00F4438A">
      <w:pPr>
        <w:spacing w:before="100" w:beforeAutospacing="1" w:after="100" w:afterAutospacing="1" w:line="240" w:lineRule="auto"/>
        <w:jc w:val="both"/>
        <w:outlineLvl w:val="2"/>
        <w:rPr>
          <w:rFonts w:ascii="Times New Roman" w:eastAsia="Times New Roman" w:hAnsi="Times New Roman" w:cs="Times New Roman"/>
          <w:b/>
          <w:bCs/>
          <w:sz w:val="26"/>
          <w:szCs w:val="26"/>
          <w:lang w:eastAsia="en-IN"/>
        </w:rPr>
      </w:pPr>
    </w:p>
    <w:p w:rsidR="00F4438A" w:rsidRPr="002646EE" w:rsidRDefault="00F4438A" w:rsidP="00CB2BBE">
      <w:pPr>
        <w:autoSpaceDE w:val="0"/>
        <w:autoSpaceDN w:val="0"/>
        <w:adjustRightInd w:val="0"/>
        <w:spacing w:after="0" w:line="360" w:lineRule="auto"/>
        <w:jc w:val="both"/>
        <w:rPr>
          <w:rFonts w:ascii="Times New Roman" w:eastAsia="ArialMT" w:hAnsi="Times New Roman" w:cs="Times New Roman"/>
          <w:sz w:val="24"/>
          <w:szCs w:val="24"/>
        </w:rPr>
      </w:pPr>
    </w:p>
    <w:p w:rsidR="00F578AA" w:rsidRPr="002646EE" w:rsidRDefault="00F578AA" w:rsidP="00CB2BBE">
      <w:pPr>
        <w:autoSpaceDE w:val="0"/>
        <w:autoSpaceDN w:val="0"/>
        <w:adjustRightInd w:val="0"/>
        <w:spacing w:after="0" w:line="360" w:lineRule="auto"/>
        <w:jc w:val="both"/>
        <w:rPr>
          <w:rFonts w:ascii="Times New Roman" w:eastAsia="ArialMT" w:hAnsi="Times New Roman" w:cs="Times New Roman"/>
          <w:sz w:val="24"/>
          <w:szCs w:val="24"/>
        </w:rPr>
      </w:pPr>
    </w:p>
    <w:p w:rsidR="00F578AA" w:rsidRPr="002646EE" w:rsidRDefault="00F578AA" w:rsidP="004912F4">
      <w:pPr>
        <w:pStyle w:val="Heading1"/>
        <w:jc w:val="left"/>
      </w:pPr>
      <w:bookmarkStart w:id="71" w:name="_Toc171420591"/>
      <w:r w:rsidRPr="002646EE">
        <w:lastRenderedPageBreak/>
        <w:t>4. Discussion</w:t>
      </w:r>
      <w:bookmarkEnd w:id="71"/>
    </w:p>
    <w:p w:rsidR="00037342" w:rsidRPr="002646EE" w:rsidRDefault="00F578AA" w:rsidP="00037342">
      <w:pPr>
        <w:autoSpaceDE w:val="0"/>
        <w:autoSpaceDN w:val="0"/>
        <w:adjustRightInd w:val="0"/>
        <w:spacing w:after="0" w:line="360" w:lineRule="auto"/>
        <w:jc w:val="both"/>
        <w:rPr>
          <w:rFonts w:ascii="Times New Roman" w:hAnsi="Times New Roman" w:cs="Times New Roman"/>
          <w:color w:val="000000" w:themeColor="text1"/>
          <w:sz w:val="24"/>
          <w:szCs w:val="24"/>
        </w:rPr>
      </w:pPr>
      <w:r w:rsidRPr="002646EE">
        <w:rPr>
          <w:rFonts w:ascii="Times New Roman" w:hAnsi="Times New Roman" w:cs="Times New Roman"/>
          <w:color w:val="000000" w:themeColor="text1"/>
          <w:sz w:val="24"/>
          <w:szCs w:val="24"/>
        </w:rPr>
        <w:t>The comparative analysis of the reported bioactives from NK and VA formulations reveals 15 similar classes of compounds in both formulations. NK exhibits 8 unique classes of compounds, while VA shows 16 unique classes. The common classes of compounds include benzene and substituted derivatives, phenols, organo-oxygen compounds, tannins, prenol lipids, flavonoids, pteridines and derivatives, cinnamic acids and derivatives, fatty acyls, steroids and steroid derivatives, indoles and derivatives, coumarins and derivatives, indolophthalamidine alkaloids, dihydrofurans, and anthracenes. NK's unique 8 classes of compounds are imidazopyrimidines, diarylheptanoids, unsaturated hydrocarbons, strychnous alkaloids, phenylpropanoids, organic oxides, harmala alkaloids, and organic sulfuric acids. VA's unique 16 classes of compounds are quinolines and derivatives, azoles, naphthalenes, phenanthrenes, azorphines, benzothiazoles, linear 1,3-diarylheptanoids, carboxylic acids and derivatives, organonitrogen compounds, amino acids, peptides and analogues, pyridines and derivatives, indenes and isoindenes, saturated hydrocarbons, alkyl halides, epoxides, and non-metal oxanionic compounds. This analysis provides specific insights into the management of T2DM.</w:t>
      </w:r>
    </w:p>
    <w:p w:rsidR="00F578AA" w:rsidRPr="002646EE" w:rsidRDefault="00037342" w:rsidP="00037342">
      <w:pPr>
        <w:autoSpaceDE w:val="0"/>
        <w:autoSpaceDN w:val="0"/>
        <w:adjustRightInd w:val="0"/>
        <w:spacing w:after="0" w:line="360" w:lineRule="auto"/>
        <w:jc w:val="both"/>
        <w:rPr>
          <w:rFonts w:ascii="Times New Roman" w:eastAsia="ArialMT" w:hAnsi="Times New Roman" w:cs="Times New Roman"/>
          <w:sz w:val="24"/>
          <w:szCs w:val="24"/>
        </w:rPr>
      </w:pPr>
      <w:r w:rsidRPr="002646EE">
        <w:rPr>
          <w:rFonts w:ascii="Times New Roman" w:hAnsi="Times New Roman" w:cs="Times New Roman"/>
          <w:color w:val="000000" w:themeColor="text1"/>
          <w:sz w:val="24"/>
          <w:szCs w:val="24"/>
        </w:rPr>
        <w:t xml:space="preserve"> </w:t>
      </w:r>
      <w:r w:rsidR="00F578AA" w:rsidRPr="002646EE">
        <w:rPr>
          <w:rFonts w:ascii="Times New Roman" w:hAnsi="Times New Roman" w:cs="Times New Roman"/>
          <w:color w:val="000000" w:themeColor="text1"/>
          <w:sz w:val="24"/>
          <w:szCs w:val="24"/>
        </w:rPr>
        <w:t>Further investigation into which phytochemicals in NK and VA formulations target the aforementioned genes may offer customized medications for specific conditions of T2DM. Among the 13 diabetes-associated genes, some are targeted by similar phytochemicals from both NK and VA. Notably, ferulic acid, ellagic acid, gallic acid, kaempferol 3-O-beta-D-galactoside, and moupinamide from both formulations target the MMP2 gene. Quercetin from both formulations targets TNF-alpha. Ascorbic acid and glucose from both NK and VA target SOD2. Stearic acid from both NK and VA targets APOE. Betulinic acid, stearic acid, and oleic acid target ALB, while sucrose and vanillin target VEGFA. Arabinose, ellagic acid, kaempferol, quercetin, rutin, typhaneoside, and chrysin target AKR1B1. Chrysin targets RELA. Ferulic acid, kaempferol-3-O-beta-D-galactoside, gallic acid, moupinamide, narcissin, quercetin, rutin, and typhaneoside target MMP9. Of the 13 genes, similar phytochemicals from both formulations were identified for 9 genes according to the analysis.</w:t>
      </w:r>
    </w:p>
    <w:p w:rsidR="00765090" w:rsidRPr="002646EE" w:rsidRDefault="00A74EE4" w:rsidP="00765090">
      <w:pPr>
        <w:spacing w:after="0" w:line="360" w:lineRule="auto"/>
        <w:jc w:val="both"/>
        <w:rPr>
          <w:rStyle w:val="NormalWebChar"/>
          <w:rFonts w:eastAsia="ArialMT"/>
        </w:rPr>
      </w:pPr>
      <w:r w:rsidRPr="002646EE">
        <w:rPr>
          <w:rStyle w:val="NormalWebChar"/>
          <w:rFonts w:eastAsiaTheme="minorHAnsi"/>
        </w:rPr>
        <w:t xml:space="preserve">In diabetic individuals, TNF-α is </w:t>
      </w:r>
      <w:r w:rsidR="00765090" w:rsidRPr="002646EE">
        <w:rPr>
          <w:rStyle w:val="NormalWebChar"/>
          <w:rFonts w:eastAsiaTheme="minorHAnsi"/>
        </w:rPr>
        <w:t xml:space="preserve">involved in apoptosis, differentiation, and cell recruitment. Through TNFR-1, TNF-α activates and recruits immune cells to propagate inflammation and activates transcriptional pathways that induce oxidative stress. This stress interacts with inflammation to promote cellular degeneration. TNF-α is critical in the pathogenesis of insulin resistance and glucose abnormalities linked to T2DM. It causes serine phosphorylation of IRS-1, which hampers the activity of the insulin receptor and the subsequent PI3K signaling </w:t>
      </w:r>
      <w:r w:rsidR="00765090" w:rsidRPr="002646EE">
        <w:rPr>
          <w:rStyle w:val="NormalWebChar"/>
          <w:rFonts w:eastAsiaTheme="minorHAnsi"/>
        </w:rPr>
        <w:lastRenderedPageBreak/>
        <w:t>pathway . TNF-α also reduces the expression of glucose transporter type 4 (GLUT4), primarily located in adipocytes, skeletal muscle, and cardiac muscle</w:t>
      </w:r>
      <w:r w:rsidR="00765090" w:rsidRPr="002646EE">
        <w:rPr>
          <w:rStyle w:val="NormalWebChar"/>
          <w:rFonts w:eastAsiaTheme="minorHAnsi"/>
        </w:rPr>
        <w:fldChar w:fldCharType="begin"/>
      </w:r>
      <w:r w:rsidR="00765090" w:rsidRPr="002646EE">
        <w:rPr>
          <w:rStyle w:val="NormalWebChar"/>
          <w:rFonts w:eastAsiaTheme="minorHAnsi"/>
        </w:rPr>
        <w:instrText xml:space="preserve"> ADDIN ZOTERO_ITEM CSL_CITATION {"citationID":"VjWJ5pvh","properties":{"formattedCitation":"(Akash et al., 2018)","plainCitation":"(Akash et al., 2018)","noteIndex":0},"citationItems":[{"id":245,"uris":["http://zotero.org/users/local/Eg2UsBJR/items/8ZKFGBR3"],"itemData":{"id":245,"type":"article-journal","abstract":"ABSTRACT\n            \n              \n              Pathogenesis of type 2 diabetes mellitus (T2DM) and development of insulin resistance are characterized by multi‐stimuli factors notably glucolipotoxicity, generation of reactive oxygen species (ROS), epigenetic factors, activation of various transcriptional mediated pathways along with the augmented levels of various pro‐inflammatory cytokines. Among the various pro‐inflammatory cytokines, tumor necrosis factor‐alpha (TNF‐α) is one the most important pro‐inflammatory mediator that is critically involved in the development of insulin resistance and pathogenesis of T2DM. TNF‐α is mainly produced in adipocytes and/or peripheral tissues, and induces tissue‐specific inflammation through the involvement of generation of ROS and activation of various transcriptional mediated pathways. The raised level of TNF‐α induces insulin resistance in adipocytes and peripheral tissues by impairing the insulin signaling through serine phosphorylation that leads to the development of T2DM. Anti‐TNF‐α treatment strategies have been developed to reduce the incidence of insulin resistance and development of T2DM. In this article, we have briefly described how TNF‐α plays crucial role to induce insulin resistance and pathogenesis of T2DM. To block the inflammatory responses by blocking TNF‐α and TNF‐α signaling may be an effective strategy for the treatment of insulin resistance and T2DM. J. Cell. Biochem. 119: 105–110, 2018. © 2017 Wiley Periodicals, Inc.","container-title":"Journal of Cellular Biochemistry","DOI":"10.1002/jcb.26174","ISSN":"0730-2312, 1097-4644","issue":"1","journalAbbreviation":"J of Cellular Biochemistry","language":"en","license":"http://onlinelibrary.wiley.com/termsAndConditions#vor","page":"105-110","source":"DOI.org (Crossref)","title":"Tumor Necrosis Factor‐Alpha: Role in Development of Insulin Resistance and Pathogenesis of Type 2 Diabetes Mellitus","title-short":"Tumor Necrosis Factor‐Alpha","volume":"119","author":[{"family":"Akash","given":"Muhammad Sajid Hamid"},{"family":"Rehman","given":"Kanwal"},{"family":"Liaqat","given":"Aamira"}],"issued":{"date-parts":[["2018",1]]}}}],"schema":"https://github.com/citation-style-language/schema/raw/master/csl-citation.json"} </w:instrText>
      </w:r>
      <w:r w:rsidR="00765090" w:rsidRPr="002646EE">
        <w:rPr>
          <w:rStyle w:val="NormalWebChar"/>
          <w:rFonts w:eastAsiaTheme="minorHAnsi"/>
        </w:rPr>
        <w:fldChar w:fldCharType="separate"/>
      </w:r>
      <w:r w:rsidR="00765090" w:rsidRPr="002646EE">
        <w:rPr>
          <w:rFonts w:ascii="Times New Roman" w:hAnsi="Times New Roman" w:cs="Times New Roman"/>
          <w:sz w:val="24"/>
          <w:szCs w:val="24"/>
        </w:rPr>
        <w:t>(Akash et al., 2018)</w:t>
      </w:r>
      <w:r w:rsidR="00765090" w:rsidRPr="002646EE">
        <w:rPr>
          <w:rStyle w:val="NormalWebChar"/>
          <w:rFonts w:eastAsiaTheme="minorHAnsi"/>
        </w:rPr>
        <w:fldChar w:fldCharType="end"/>
      </w:r>
      <w:r w:rsidR="00765090" w:rsidRPr="002646EE">
        <w:rPr>
          <w:rStyle w:val="NormalWebChar"/>
          <w:rFonts w:eastAsiaTheme="minorHAnsi"/>
        </w:rPr>
        <w:t xml:space="preserve">. In diabetic individuals, TNF-α mRNA and protein levels increase in adipose tissues, impairing insulin sensitivity by downregulating IRS-1, GLUT4, CEBP-PPAR, perilipin, and Acrp30. </w:t>
      </w:r>
      <w:r w:rsidRPr="002646EE">
        <w:rPr>
          <w:rStyle w:val="NormalWebChar"/>
          <w:rFonts w:eastAsiaTheme="minorHAnsi"/>
        </w:rPr>
        <w:t xml:space="preserve">It </w:t>
      </w:r>
      <w:r w:rsidR="00765090" w:rsidRPr="002646EE">
        <w:rPr>
          <w:rStyle w:val="NormalWebChar"/>
          <w:rFonts w:eastAsiaTheme="minorHAnsi"/>
        </w:rPr>
        <w:t xml:space="preserve">decreases fatty acid oxidation and increases plasma free fatty acid levels, contributing to tissue-specific inflammation and the pathogenesis of T2DM </w:t>
      </w:r>
      <w:r w:rsidR="00765090" w:rsidRPr="002646EE">
        <w:rPr>
          <w:rStyle w:val="NormalWebChar"/>
          <w:rFonts w:eastAsiaTheme="minorHAnsi"/>
        </w:rPr>
        <w:fldChar w:fldCharType="begin"/>
      </w:r>
      <w:r w:rsidR="00765090" w:rsidRPr="002646EE">
        <w:rPr>
          <w:rStyle w:val="NormalWebChar"/>
          <w:rFonts w:eastAsiaTheme="minorHAnsi"/>
        </w:rPr>
        <w:instrText xml:space="preserve"> ADDIN ZOTERO_ITEM CSL_CITATION {"citationID":"ibTOHJfS","properties":{"formattedCitation":"(Cao et al., 2023)","plainCitation":"(Cao et al., 2023)","noteIndex":0},"citationItems":[{"id":246,"uris":["http://zotero.org/users/local/Eg2UsBJR/items/IPWW3M6S"],"itemData":{"id":246,"type":"article-journal","abstract":"Abstract\n            Type 2 diabetes mellitus (T2DM) represents one of the fastest growing epidemic metabolic disorders worldwide and is a strong contributor for a broad range of comorbidities, including vascular, visual, neurological, kidney, and liver diseases. Moreover, recent data suggest a mutual interplay between T2DM and Corona Virus Disease 2019 (COVID‐19). T2DM is characterized by insulin resistance (IR) and pancreatic β cell dysfunction. Pioneering discoveries throughout the past few decades have established notable links between signaling pathways and T2DM pathogenesis and therapy. Importantly, a number of signaling pathways substantially control the advancement of core pathological changes in T2DM, including IR and β cell dysfunction, as well as additional pathogenic disturbances. Accordingly, an improved understanding of these signaling pathways sheds light on tractable targets and strategies for developing and repurposing critical therapies to treat T2DM and its complications. In this review, we provide a brief overview of the history of T2DM and signaling pathways, and offer a systematic update on the role and mechanism of key signaling pathways underlying the onset, development, and progression of T2DM. In this content, we also summarize current therapeutic drugs/agents associated with signaling pathways for the treatment of T2DM and its complications, and discuss some implications and directions to the future of this field.","container-title":"MedComm","DOI":"10.1002/mco2.283","ISSN":"2688-2663, 2688-2663","issue":"3","journalAbbreviation":"MedComm","language":"en","license":"http://creativecommons.org/licenses/by/4.0/","page":"e283","source":"DOI.org (Crossref)","title":"Signaling pathways and intervention for therapy of type 2 diabetes mellitus","volume":"4","author":[{"family":"Cao","given":"Rong"},{"family":"Tian","given":"Huimin"},{"family":"Zhang","given":"Yu"},{"family":"Liu","given":"Geng"},{"family":"Xu","given":"Haixia"},{"family":"Rao","given":"Guocheng"},{"family":"Tian","given":"Yan"},{"family":"Fu","given":"Xianghui"}],"issued":{"date-parts":[["2023",6]]}}}],"schema":"https://github.com/citation-style-language/schema/raw/master/csl-citation.json"} </w:instrText>
      </w:r>
      <w:r w:rsidR="00765090" w:rsidRPr="002646EE">
        <w:rPr>
          <w:rStyle w:val="NormalWebChar"/>
          <w:rFonts w:eastAsiaTheme="minorHAnsi"/>
        </w:rPr>
        <w:fldChar w:fldCharType="separate"/>
      </w:r>
      <w:r w:rsidR="00765090" w:rsidRPr="002646EE">
        <w:rPr>
          <w:rFonts w:ascii="Times New Roman" w:hAnsi="Times New Roman" w:cs="Times New Roman"/>
          <w:sz w:val="24"/>
          <w:szCs w:val="24"/>
        </w:rPr>
        <w:t>(Cao et al., 2023)</w:t>
      </w:r>
      <w:r w:rsidR="00765090" w:rsidRPr="002646EE">
        <w:rPr>
          <w:rStyle w:val="NormalWebChar"/>
          <w:rFonts w:eastAsiaTheme="minorHAnsi"/>
        </w:rPr>
        <w:fldChar w:fldCharType="end"/>
      </w:r>
      <w:r w:rsidR="00765090" w:rsidRPr="002646EE">
        <w:rPr>
          <w:rStyle w:val="NormalWebChar"/>
          <w:rFonts w:eastAsiaTheme="minorHAnsi"/>
        </w:rPr>
        <w:t>.</w:t>
      </w:r>
    </w:p>
    <w:p w:rsidR="00765090" w:rsidRPr="002646EE" w:rsidRDefault="00765090" w:rsidP="00765090">
      <w:pPr>
        <w:spacing w:after="0" w:line="360" w:lineRule="auto"/>
        <w:jc w:val="both"/>
        <w:rPr>
          <w:rStyle w:val="NormalWebChar"/>
          <w:rFonts w:eastAsia="ArialMT"/>
        </w:rPr>
      </w:pPr>
      <w:r w:rsidRPr="002646EE">
        <w:rPr>
          <w:rStyle w:val="NormalWebChar"/>
          <w:rFonts w:eastAsia="ArialMT"/>
        </w:rPr>
        <w:t xml:space="preserve">It has been identified that </w:t>
      </w:r>
      <w:r w:rsidRPr="002646EE">
        <w:rPr>
          <w:rFonts w:ascii="Times New Roman" w:hAnsi="Times New Roman" w:cs="Times New Roman"/>
          <w:sz w:val="24"/>
          <w:szCs w:val="24"/>
        </w:rPr>
        <w:t xml:space="preserve">two single-nucleotide polymorphisms in the promoter region of the MMP-2 gene that may be linked to an increased risk of </w:t>
      </w:r>
      <w:r w:rsidR="00A74EE4" w:rsidRPr="002646EE">
        <w:rPr>
          <w:rFonts w:ascii="Times New Roman" w:hAnsi="Times New Roman" w:cs="Times New Roman"/>
          <w:sz w:val="24"/>
          <w:szCs w:val="24"/>
        </w:rPr>
        <w:t xml:space="preserve">T2DM </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{"citationID":"PsLLckdq","properties":{"formattedCitation":"(Gajewska &amp; \\uc0\\u346{}liwi\\uc0\\u324{}ska-Mosso\\uc0\\u324{}, 2022)","plainCitation":"(Gajewska &amp; Śliwińska-Mossoń, 2022)","noteIndex":0},"citationItems":[{"id":248,"uris":["http://zotero.org/users/local/Eg2UsBJR/items/KIZD777C"],"itemData":{"id":248,"type":"article-journal","abstract":"Type 2 diabetes mellitus (T2D) affects millions of people around the world, and its complications have serious health consequences. In addition to external factors, the causes of morbidity and increased risk were also sought in the variability of the human genome. A phenomenon that can answer these questions is the occurrence of single-nucleotide polymorphisms (SNP). They constitute a field for research into genetic determinants responsible for the increase in the risk of the discussed metabolic disease. This article presents the outline of two enzymes: metalloproteinases 2 and 9 (MMP-2, MMP-9), their biological activity and the effect caused by differences in individual alleles in the population, as well as the reports on the importance of these DNA sequence variations in the occurrence of diabetes mellitus type 2 and associated conditions. The results of the conducted research indicate a relationship between two MMP-2 polymorphisms (rs243865, rs243866) and two MMP-9 polymorphisms (rs3918242, rs17576) and the presence of T2D. This could offer a promising possibility to use them as predictive and diagnostic markers. However, due to the low number of reports, more research is needed to clearly confirm the link between these SNPs and diabetes.","container-title":"International Journal of Molecular Sciences","DOI":"10.3390/ijms231810571","ISSN":"1422-0067","issue":"18","journalAbbreviation":"IJMS","language":"en","license":"https://creativecommons.org/licenses/by/4.0/","page":"10571","source":"DOI.org (Crossref)","title":"Association of MMP-2 and MMP-9 Polymorphisms with Diabetes and Pathogenesis of Diabetic Complications","volume":"23","author":[{"family":"Gajewska","given":"Beata"},{"family":"Śliwińska-Mossoń","given":"Mariola"}],"issued":{"date-parts":[["2022",9,12]]}}}],"schema":"https://github.com/citation-style-language/schema/raw/master/csl-citation.json"}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(Gajewska &amp; Śliwińska-Mossoń, 2022)</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r w:rsidR="00A74EE4" w:rsidRPr="002646EE">
        <w:rPr>
          <w:rFonts w:ascii="Times New Roman" w:hAnsi="Times New Roman" w:cs="Times New Roman"/>
          <w:sz w:val="24"/>
          <w:szCs w:val="24"/>
        </w:rPr>
        <w:t xml:space="preserve">These </w:t>
      </w:r>
      <w:r w:rsidRPr="002646EE">
        <w:rPr>
          <w:rFonts w:ascii="Times New Roman" w:hAnsi="Times New Roman" w:cs="Times New Roman"/>
          <w:sz w:val="24"/>
          <w:szCs w:val="24"/>
        </w:rPr>
        <w:t>are zinc-dependent endopeptidases crucial for tissue remodeling and extracellular matrix (ECM) degradation</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{"citationID":"rFRODhg7","properties":{"formattedCitation":"(Verma &amp; Hansch, 2007)","plainCitation":"(Verma &amp; Hansch, 2007)","noteIndex":0},"citationItems":[{"id":250,"uris":["http://zotero.org/users/local/Eg2UsBJR/items/6GXR5M79"],"itemData":{"id":250,"type":"article-journal","container-title":"Bioorganic &amp; Medicinal Chemistry","DOI":"10.1016/j.bmc.2007.01.011","ISSN":"09680896","issue":"6","journalAbbreviation":"Bioorganic &amp; Medicinal Chemistry","language":"en","license":"https://www.elsevier.com/tdm/userlicense/1.0/","page":"2223-2268","source":"DOI.org (Crossref)","title":"Matrix metalloproteinases (MMPs): Chemical–biological functions and (Q)SARs","title-short":"Matrix metalloproteinases (MMPs)","volume":"15","author":[{"family":"Verma","given":"Rajeshwar P."},{"family":"Hansch","given":"Corwin"}],"issued":{"date-parts":[["2007",3]]}}}],"schema":"https://github.com/citation-style-language/schema/raw/master/csl-citation.json"}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(Verma &amp; Hansch, 2007)</w:t>
      </w:r>
      <w:r w:rsidRPr="002646EE">
        <w:rPr>
          <w:rFonts w:ascii="Times New Roman" w:hAnsi="Times New Roman" w:cs="Times New Roman"/>
          <w:sz w:val="24"/>
          <w:szCs w:val="24"/>
        </w:rPr>
        <w:fldChar w:fldCharType="end"/>
      </w:r>
      <w:r w:rsidR="00A74EE4" w:rsidRPr="002646EE">
        <w:rPr>
          <w:rFonts w:ascii="Times New Roman" w:hAnsi="Times New Roman" w:cs="Times New Roman"/>
          <w:sz w:val="24"/>
          <w:szCs w:val="24"/>
        </w:rPr>
        <w:t>. I</w:t>
      </w:r>
      <w:r w:rsidRPr="002646EE">
        <w:rPr>
          <w:rFonts w:ascii="Times New Roman" w:hAnsi="Times New Roman" w:cs="Times New Roman"/>
          <w:sz w:val="24"/>
          <w:szCs w:val="24"/>
        </w:rPr>
        <w:t>nsulin influences MMP regulation diffe</w:t>
      </w:r>
      <w:r w:rsidR="00A74EE4" w:rsidRPr="002646EE">
        <w:rPr>
          <w:rFonts w:ascii="Times New Roman" w:hAnsi="Times New Roman" w:cs="Times New Roman"/>
          <w:sz w:val="24"/>
          <w:szCs w:val="24"/>
        </w:rPr>
        <w:t>rently depending on the organ. F</w:t>
      </w:r>
      <w:r w:rsidRPr="002646EE">
        <w:rPr>
          <w:rFonts w:ascii="Times New Roman" w:hAnsi="Times New Roman" w:cs="Times New Roman"/>
          <w:sz w:val="24"/>
          <w:szCs w:val="24"/>
        </w:rPr>
        <w:t>ree fatty acids and insulin stimulate the activation of MMP-2</w:t>
      </w:r>
      <w:r w:rsidRPr="002646EE">
        <w:rPr>
          <w:rStyle w:val="NormalWebChar"/>
          <w:rFonts w:eastAsia="ArialMT"/>
        </w:rPr>
        <w:t xml:space="preserve"> </w:t>
      </w:r>
      <w:r w:rsidRPr="002646EE">
        <w:rPr>
          <w:rFonts w:ascii="Times New Roman" w:hAnsi="Times New Roman" w:cs="Times New Roman"/>
          <w:sz w:val="24"/>
          <w:szCs w:val="24"/>
        </w:rPr>
        <w:t>by promoting the production of pro-inflammatory cytokines. Conversely, in the liver, hyperinsulinemia leads to a reduction in the levels of MMP-2</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{"citationID":"KcL8LVPx","properties":{"formattedCitation":"(Berg &amp; Miksztowicz, 2015)","plainCitation":"(Berg &amp; Miksztowicz, 2015)","noteIndex":0},"citationItems":[{"id":251,"uris":["http://zotero.org/users/local/Eg2UsBJR/items/FWDBKKSE"],"itemData":{"id":251,"type":"article-journal","container-title":"Metalloproteinases In Medicine","DOI":"10.2147/MNM.S88993","ISSN":"2324-2027","journalAbbreviation":"MNM","language":"en","license":"http://creativecommons.org/licenses/by-nc/3.0/","page":"51","source":"DOI.org (Crossref)","title":"Metalloproteinases in the pathogenesis and progression of metabolic syndrome: potential targets for improved outcomes","title-short":"Metalloproteinases in the pathogenesis and progression of metabolic syndrome","author":[{"family":"Berg","given":"Gabriela"},{"family":"Miksztowicz","given":"Veronica"}],"issued":{"date-parts":[["2015",10]]}}}],"schema":"https://github.com/citation-style-language/schema/raw/master/csl-citation.json"}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(Berg &amp; Miksztowicz, 2015)</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 In diabetic nephropathy, the altered expression of MMPs contributes to ECM deposition and glomerular hypertrophy, which can result in proteinuria and renal insufficiency. An excess of MMPs may also play a role in poor wound healing</w:t>
      </w:r>
      <w:r w:rsidR="00A74EE4" w:rsidRPr="002646EE">
        <w:rPr>
          <w:rFonts w:ascii="Times New Roman" w:hAnsi="Times New Roman" w:cs="Times New Roman"/>
          <w:sz w:val="24"/>
          <w:szCs w:val="24"/>
        </w:rPr>
        <w:t xml:space="preserve"> </w:t>
      </w:r>
      <w:r w:rsidRPr="002646EE">
        <w:rPr>
          <w:rStyle w:val="NormalWebChar"/>
          <w:rFonts w:eastAsia="ArialMT"/>
        </w:rPr>
        <w:fldChar w:fldCharType="begin"/>
      </w:r>
      <w:r w:rsidRPr="002646EE">
        <w:rPr>
          <w:rStyle w:val="NormalWebChar"/>
          <w:rFonts w:eastAsia="ArialMT"/>
        </w:rPr>
        <w:instrText xml:space="preserve"> ADDIN ZOTERO_ITEM CSL_CITATION {"citationID":"hXsejPiT","properties":{"formattedCitation":"(Tsioufis et al., 2012)","plainCitation":"(Tsioufis et al., 2012)","noteIndex":0},"citationItems":[{"id":72,"uris":["http://zotero.org/users/local/Eg2UsBJR/items/VGHUP2C6"],"itemData":{"id":72,"type":"article-journal","container-title":"Current Topics in Medicinal Chemistry","DOI":"10.2174/1568026611208011159","ISSN":"15680266","issue":"10","journalAbbreviation":"CTMC","language":"en","page":"1159-1165","source":"DOI.org (Crossref)","title":"The Role of Matrix Metalloproteinases in Diabetes Mellitus","volume":"12","author":[{"family":"Tsioufis","given":"Costas"},{"family":"Bafakis","given":"Ioannis"},{"family":"Kasiakogias","given":"Alexandros"},{"family":"Stefanadis","given":"Christodoulos"}],"issued":{"date-parts":[["2012",4,1]]}}}],"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(Tsioufis et al., 2012)</w:t>
      </w:r>
      <w:r w:rsidRPr="002646EE">
        <w:rPr>
          <w:rStyle w:val="NormalWebChar"/>
          <w:rFonts w:eastAsia="ArialMT"/>
        </w:rPr>
        <w:fldChar w:fldCharType="end"/>
      </w:r>
      <w:r w:rsidRPr="002646EE">
        <w:rPr>
          <w:rStyle w:val="NormalWebChar"/>
          <w:rFonts w:eastAsia="ArialMT"/>
        </w:rPr>
        <w:t>.</w:t>
      </w:r>
    </w:p>
    <w:p w:rsidR="00765090" w:rsidRPr="002646EE" w:rsidRDefault="00765090" w:rsidP="00765090">
      <w:pPr>
        <w:spacing w:after="0" w:line="360" w:lineRule="auto"/>
        <w:jc w:val="both"/>
        <w:rPr>
          <w:rStyle w:val="NormalWebChar"/>
          <w:rFonts w:eastAsia="ArialMT"/>
        </w:rPr>
      </w:pPr>
      <w:r w:rsidRPr="002646EE">
        <w:rPr>
          <w:rFonts w:ascii="Times New Roman" w:hAnsi="Times New Roman" w:cs="Times New Roman"/>
          <w:color w:val="2B2D38"/>
          <w:sz w:val="24"/>
          <w:szCs w:val="24"/>
          <w:shd w:val="clear" w:color="auto" w:fill="FFFFFF"/>
        </w:rPr>
        <w:t>A significant rise in urinary ACE levels in type II DM patients with nephropathy, compared to those without complications or with only mild complications, suggesting a direct link between elevated ACE activity and nephropathy</w:t>
      </w:r>
      <w:r w:rsidRPr="002646EE">
        <w:rPr>
          <w:rStyle w:val="NormalWebChar"/>
          <w:rFonts w:eastAsia="ArialMT"/>
        </w:rPr>
        <w:fldChar w:fldCharType="begin"/>
      </w:r>
      <w:r w:rsidRPr="002646EE">
        <w:rPr>
          <w:rStyle w:val="NormalWebChar"/>
          <w:rFonts w:eastAsia="ArialMT"/>
        </w:rPr>
        <w:instrText xml:space="preserve"> ADDIN ZOTERO_ITEM CSL_CITATION {"citationID":"atb7qiqK","properties":{"formattedCitation":"(Cheng et al., 2019)","plainCitation":"(Cheng et al., 2019)","noteIndex":0},"citationItems":[{"id":254,"uris":["http://zotero.org/users/local/Eg2UsBJR/items/K9L4FYXF"],"itemData":{"id":254,"type":"article-journal","abstract":"Urinary angiotensin converting enzyme 2 (ACE2) is significantly increased in diabetes and diabetic nephropathy. While studies on its clinical significance are still underway, its urinary expression, association with metabolic and renal parameters has been in the recent past considerably studied. The recent studies have demystified urine ACE2 in many ways and suggested the roles it could play in the management of diabetic nephropathy. In all studies the expression of urinary ACE2 was determined by enzyme activity assay and/with the quantification of ACE2 protein and mRNA by methods whose reliability are yet to be evaluated. This review summarizes recent findings on expression of urinary ACE2, examines its relationship with clinical parameters and highlights possible applications in management of diabetic nephropathy.","container-title":"Biochemia medica","DOI":"10.11613/BM.2019.010501","ISSN":"18467482, 13300962","issue":"1","journalAbbreviation":"Biochem. med. (Online)","page":"28-38","source":"DOI.org (Crossref)","title":"A review of urinary angiotensin converting enzyme 2 in diabetes and diabetic nephropathy","volume":"29","author":[{"family":"Cheng","given":"Guixue"},{"family":"Qin","given":"Xiaosong"},{"family":"Gorret","given":"Abalinda Mary"},{"family":"Deo","given":"Kabuye"},{"family":"An","given":"Changjuan"},{"family":"Liu","given":"Jianhua"},{"family":"Gilbert","given":"Akankwasa"}],"issued":{"date-parts":[["2019",2,15]]}}}],"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(Cheng et al., 2019)</w:t>
      </w:r>
      <w:r w:rsidRPr="002646EE">
        <w:rPr>
          <w:rStyle w:val="NormalWebChar"/>
          <w:rFonts w:eastAsia="ArialMT"/>
        </w:rPr>
        <w:fldChar w:fldCharType="end"/>
      </w:r>
      <w:r w:rsidRPr="002646EE">
        <w:rPr>
          <w:rStyle w:val="NormalWebChar"/>
          <w:rFonts w:eastAsia="ArialMT"/>
        </w:rPr>
        <w:t>.</w:t>
      </w:r>
    </w:p>
    <w:p w:rsidR="00765090" w:rsidRPr="002646EE" w:rsidRDefault="00765090" w:rsidP="00765090">
      <w:pPr>
        <w:spacing w:after="0" w:line="360" w:lineRule="auto"/>
        <w:jc w:val="both"/>
        <w:rPr>
          <w:rStyle w:val="NormalWebChar"/>
          <w:rFonts w:eastAsia="ArialMT"/>
        </w:rPr>
      </w:pPr>
      <w:r w:rsidRPr="002646EE">
        <w:rPr>
          <w:rStyle w:val="NormalWebChar"/>
          <w:rFonts w:eastAsiaTheme="minorHAnsi"/>
        </w:rPr>
        <w:t>Under hyperglycemia, AKR1B1 activity is stimulated and can increase up to 33% in tissues that exhibit insulin-independent glucose uptake. This heightened glucose metabolism through the polyol pathway leads to various cellular stress conditions, underlying chronic diabetic complications</w:t>
      </w:r>
      <w:r w:rsidRPr="002646EE">
        <w:rPr>
          <w:rStyle w:val="NormalWebChar"/>
          <w:rFonts w:eastAsiaTheme="minorHAnsi"/>
        </w:rPr>
        <w:fldChar w:fldCharType="begin"/>
      </w:r>
      <w:r w:rsidRPr="002646EE">
        <w:rPr>
          <w:rStyle w:val="NormalWebChar"/>
          <w:rFonts w:eastAsiaTheme="minorHAnsi"/>
        </w:rPr>
        <w:instrText xml:space="preserve"> ADDIN ZOTERO_ITEM CSL_CITATION {"citationID":"wUFgdqZB","properties":{"formattedCitation":"(Han et al., 2020)","plainCitation":"(Han et al., 2020)","noteIndex":0},"citationItems":[{"id":256,"uris":["http://zotero.org/users/local/Eg2UsBJR/items/GBC3VBGA"],"itemData":{"id":256,"type":"article-journal","container-title":"Bioorganic Chemistry","DOI":"10.1016/j.bioorg.2020.104428","ISSN":"00452068","journalAbbreviation":"Bioorganic Chemistry","language":"en","page":"104428","source":"DOI.org (Crossref)","title":"Novel 3,4-dihydroquinolin-2(1H)-one derivatives as dual inhibitor targeting AKR1B1/ROS for treatment of diabetic complications: Design, synthesis and biological evaluation","title-short":"Novel 3,4-dihydroquinolin-2(1H)-one derivatives as dual inhibitor targeting AKR1B1/ROS for treatment of diabetic complications","volume":"105","author":[{"family":"Han","given":"Zhongfei"},{"family":"Qi","given":"Gang"},{"family":"Zhu","given":"Junkai"},{"family":"Zhang","given":"Yundong"},{"family":"Xu","given":"Yin"},{"family":"Yan","given":"Kang"},{"family":"Zhu","given":"Changjin"},{"family":"Hao","given":"Xin"}],"issued":{"date-parts":[["2020",12]]}}}],"schema":"https://github.com/citation-style-language/schema/raw/master/csl-citation.json"} </w:instrText>
      </w:r>
      <w:r w:rsidRPr="002646EE">
        <w:rPr>
          <w:rStyle w:val="NormalWebChar"/>
          <w:rFonts w:eastAsiaTheme="minorHAnsi"/>
        </w:rPr>
        <w:fldChar w:fldCharType="separate"/>
      </w:r>
      <w:r w:rsidRPr="002646EE">
        <w:rPr>
          <w:rFonts w:ascii="Times New Roman" w:hAnsi="Times New Roman" w:cs="Times New Roman"/>
          <w:sz w:val="24"/>
          <w:szCs w:val="24"/>
        </w:rPr>
        <w:t>(Han et al., 2020)</w:t>
      </w:r>
      <w:r w:rsidRPr="002646EE">
        <w:rPr>
          <w:rStyle w:val="NormalWebChar"/>
          <w:rFonts w:eastAsiaTheme="minorHAnsi"/>
        </w:rPr>
        <w:fldChar w:fldCharType="end"/>
      </w:r>
      <w:r w:rsidRPr="002646EE">
        <w:rPr>
          <w:rStyle w:val="NormalWebChar"/>
          <w:rFonts w:eastAsiaTheme="minorHAnsi"/>
        </w:rPr>
        <w:t>. AKR1B1 has been identified as a major mediator of inflammation, playing a key role in the generation and propagation of ROS-induced inflammation. Both AKR1B1 and ROS are crucial intervention targets for managing diabetic complications</w:t>
      </w:r>
      <w:r w:rsidRPr="002646EE">
        <w:rPr>
          <w:rStyle w:val="NormalWebChar"/>
          <w:rFonts w:eastAsiaTheme="minorHAnsi"/>
        </w:rPr>
        <w:fldChar w:fldCharType="begin"/>
      </w:r>
      <w:r w:rsidRPr="002646EE">
        <w:rPr>
          <w:rStyle w:val="NormalWebChar"/>
          <w:rFonts w:eastAsiaTheme="minorHAnsi"/>
        </w:rPr>
        <w:instrText xml:space="preserve"> ADDIN ZOTERO_ITEM CSL_CITATION {"citationID":"amGvHjsx","properties":{"formattedCitation":"(Franko et al., 2020)","plainCitation":"(Franko et al., 2020)","noteIndex":0},"citationItems":[{"id":257,"uris":["http://zotero.org/users/local/Eg2UsBJR/items/KWLSTLV6"],"itemData":{"id":257,"type":"article-journal","abstract":"Aldo-keto reductase family 1 (AKR1) enzymes play a crucial role in diabetic complications. Since type 2 diabetes (T2D) is associated with cancer progression, we investigated the impact of diabetes on AKR1 gene expression in the context of prostate cancer (PCa) development. In this study, we analyzed benign (BEN) prostate and PCa tissue of patients with and without T2D. Furthermore, to replicate hyperglycemia in vitro, we treated the prostate adenocarcinoma cell line PC3 with increasing glucose concentrations. Gene expression was quantified using real-time qPCR. In the prostate tissue of patients with T2D, AKR1C1 and AKR1C2 transcripts were higher compared to samples of patients without diabetes. In PC3 cells, high glucose treatment induced the gene expression levels of AKR1C1, C2, and C3. Furthermore, both in human tissue and in PC3 cells, the transcript levels of AKR1C1, C2, and C3 showed positive associations with oncogenes, which are involved in proliferation processes and HIF1α and NFκB pathways. These results indicate that in the prostate glands of patients with T2D, hyperglycemia could play a pivotal role by inducing the expression of AKR1C1, C2, and C3. The higher transcript level of AKR1C was furthermore associated with upregulated HIF1α and NFκB pathways, which are major drivers of PCa carcinogenesis.","container-title":"Journal of Personalized Medicine","DOI":"10.3390/jpm10030124","ISSN":"2075-4426","issue":"3","journalAbbreviation":"JPM","language":"en","license":"https://creativecommons.org/licenses/by/4.0/","page":"124","source":"DOI.org (Crossref)","title":"Transcript Levels of Aldo-Keto Reductase Family 1 Subfamily C (AKR1C) Are Increased in Prostate Tissue of Patients with Type 2 Diabetes","volume":"10","author":[{"family":"Franko","given":"Andras"},{"family":"Berti","given":"Lucia"},{"family":"Hennenlotter","given":"Jörg"},{"family":"Rausch","given":"Steffen"},{"family":"Scharpf","given":"Marcus O."},{"family":"De Angelis","given":"Martin Hrabĕ"},{"family":"Stenzl","given":"Arnulf"},{"family":"Birkenfeld","given":"Andreas L."},{"family":"Peter","given":"Andreas"},{"family":"Lutz","given":"Stefan Z."},{"family":"Häring","given":"Hans-Ulrich"},{"family":"Heni","given":"Martin"}],"issued":{"date-parts":[["2020",9,12]]}}}],"schema":"https://github.com/citation-style-language/schema/raw/master/csl-citation.json"} </w:instrText>
      </w:r>
      <w:r w:rsidRPr="002646EE">
        <w:rPr>
          <w:rStyle w:val="NormalWebChar"/>
          <w:rFonts w:eastAsiaTheme="minorHAnsi"/>
        </w:rPr>
        <w:fldChar w:fldCharType="separate"/>
      </w:r>
      <w:r w:rsidRPr="002646EE">
        <w:rPr>
          <w:rFonts w:ascii="Times New Roman" w:hAnsi="Times New Roman" w:cs="Times New Roman"/>
          <w:sz w:val="24"/>
          <w:szCs w:val="24"/>
        </w:rPr>
        <w:t>(Franko et al., 2020)</w:t>
      </w:r>
      <w:r w:rsidRPr="002646EE">
        <w:rPr>
          <w:rStyle w:val="NormalWebChar"/>
          <w:rFonts w:eastAsiaTheme="minorHAnsi"/>
        </w:rPr>
        <w:fldChar w:fldCharType="end"/>
      </w:r>
      <w:r w:rsidRPr="002646EE">
        <w:rPr>
          <w:rStyle w:val="NormalWebChar"/>
          <w:rFonts w:eastAsiaTheme="minorHAnsi"/>
        </w:rPr>
        <w:t>.</w:t>
      </w:r>
    </w:p>
    <w:p w:rsidR="00765090" w:rsidRPr="002646EE" w:rsidRDefault="00765090" w:rsidP="00765090">
      <w:pPr>
        <w:spacing w:after="0" w:line="360" w:lineRule="auto"/>
        <w:jc w:val="both"/>
        <w:rPr>
          <w:rStyle w:val="NormalWebChar"/>
          <w:rFonts w:eastAsia="ArialMT"/>
        </w:rPr>
      </w:pPr>
      <w:r w:rsidRPr="002646EE">
        <w:rPr>
          <w:rStyle w:val="NormalWebChar"/>
          <w:rFonts w:eastAsiaTheme="minorHAnsi"/>
        </w:rPr>
        <w:t>RELA encodes the p65 subunit of the regulatory transcriptome responsible for cytokine (TNFα and IL6) and chemokine production. TNFα and IL6 are key proinflammatory cytokines involved in the development of insulin resistance (IR) and type 2 diabetes (T2DM). Increased levels of TNFα in patients with IR and T2DM are believed to disrupt the downstream insulin signaling pathway, diminishing insulin's effectiveness. Elevated expression of RELA (p65) subunits of NF-κB has been observed in conditions of hyperglycemia and in the presence of advanced glycation end products, which activate NF-κB and trigger an inflammatory response</w:t>
      </w:r>
      <w:r w:rsidRPr="002646EE">
        <w:rPr>
          <w:rStyle w:val="NormalWebChar"/>
          <w:rFonts w:eastAsiaTheme="minorHAnsi"/>
        </w:rPr>
        <w:fldChar w:fldCharType="begin"/>
      </w:r>
      <w:r w:rsidRPr="002646EE">
        <w:rPr>
          <w:rStyle w:val="NormalWebChar"/>
          <w:rFonts w:eastAsiaTheme="minorHAnsi"/>
        </w:rPr>
        <w:instrText xml:space="preserve"> ADDIN ZOTERO_ITEM CSL_CITATION {"citationID":"ndlP32Mo","properties":{"formattedCitation":"(Mehndiratta et al., 2024)","plainCitation":"(Mehndiratta et al., 2024)","noteIndex":0},"citationItems":[{"id":259,"uris":["http://zotero.org/users/local/Eg2UsBJR/items/IDEF6M49"],"itemData":{"id":259,"type":"article-journal","container-title":"Aspects of Molecular Medicine","DOI":"10.1016/j.amolm.2024.100042","ISSN":"29496888","journalAbbreviation":"Aspects of Molecular Medicine","language":"en","page":"100042","source":"DOI.org (Crossref)","title":"Higher oxidative stress and inflammation in obese compared to lean patients with type 2 diabetes mellitus","volume":"3","author":[{"family":"Mehndiratta","given":"Mohit"},{"family":"Almeida","given":"Edelbert Anthonio"},{"family":"Chawla","given":"Diwesh"},{"family":"Madhu","given":"S.V."},{"family":"Garg","given":"Seema"},{"family":"Kar","given":"Rajarshi"}],"issued":{"date-parts":[["2024",6]]}}}],"schema":"https://github.com/citation-style-language/schema/raw/master/csl-citation.json"} </w:instrText>
      </w:r>
      <w:r w:rsidRPr="002646EE">
        <w:rPr>
          <w:rStyle w:val="NormalWebChar"/>
          <w:rFonts w:eastAsiaTheme="minorHAnsi"/>
        </w:rPr>
        <w:fldChar w:fldCharType="separate"/>
      </w:r>
      <w:r w:rsidRPr="002646EE">
        <w:rPr>
          <w:rFonts w:ascii="Times New Roman" w:hAnsi="Times New Roman" w:cs="Times New Roman"/>
          <w:sz w:val="24"/>
          <w:szCs w:val="24"/>
        </w:rPr>
        <w:t>(Mehndiratta et al., 2024)</w:t>
      </w:r>
      <w:r w:rsidRPr="002646EE">
        <w:rPr>
          <w:rStyle w:val="NormalWebChar"/>
          <w:rFonts w:eastAsiaTheme="minorHAnsi"/>
        </w:rPr>
        <w:fldChar w:fldCharType="end"/>
      </w:r>
      <w:r w:rsidRPr="002646EE">
        <w:rPr>
          <w:rStyle w:val="NormalWebChar"/>
          <w:rFonts w:eastAsiaTheme="minorHAnsi"/>
        </w:rPr>
        <w:t>.</w:t>
      </w:r>
    </w:p>
    <w:p w:rsidR="00765090" w:rsidRPr="002646EE" w:rsidRDefault="00765090" w:rsidP="00765090">
      <w:pPr>
        <w:spacing w:after="0" w:line="360" w:lineRule="auto"/>
        <w:jc w:val="both"/>
        <w:rPr>
          <w:rStyle w:val="NormalWebChar"/>
          <w:rFonts w:eastAsia="ArialMT"/>
        </w:rPr>
      </w:pPr>
      <w:r w:rsidRPr="002646EE">
        <w:rPr>
          <w:rStyle w:val="NormalWebChar"/>
          <w:rFonts w:eastAsia="ArialMT"/>
        </w:rPr>
        <w:lastRenderedPageBreak/>
        <w:t xml:space="preserve">Hyperglycemic conditions enhance the expression and activity of MMP-9 genes in endothelial cells and macrophages. MMPs are proteolytic enzymes linked to proinflammatory </w:t>
      </w:r>
      <w:r w:rsidR="00351DD1" w:rsidRPr="002646EE">
        <w:rPr>
          <w:rStyle w:val="NormalWebChar"/>
          <w:rFonts w:eastAsia="ArialMT"/>
        </w:rPr>
        <w:t xml:space="preserve">environments </w:t>
      </w:r>
      <w:r w:rsidRPr="002646EE">
        <w:rPr>
          <w:rStyle w:val="NormalWebChar"/>
          <w:rFonts w:eastAsia="ArialMT"/>
        </w:rPr>
        <w:t xml:space="preserve"> diabetes, and can be activated by reactive nitrogen species</w:t>
      </w:r>
      <w:r w:rsidRPr="002646EE">
        <w:rPr>
          <w:rStyle w:val="NormalWebChar"/>
          <w:rFonts w:eastAsia="ArialMT"/>
        </w:rPr>
        <w:fldChar w:fldCharType="begin"/>
      </w:r>
      <w:r w:rsidRPr="002646EE">
        <w:rPr>
          <w:rStyle w:val="NormalWebChar"/>
          <w:rFonts w:eastAsia="ArialMT"/>
        </w:rPr>
        <w:instrText xml:space="preserve"> ADDIN ZOTERO_ITEM CSL_CITATION {"citationID":"90shj7hU","properties":{"formattedCitation":"(Rastgoo Haghi et al., 2021)","plainCitation":"(Rastgoo Haghi et al., 2021)","noteIndex":0},"citationItems":[{"id":260,"uris":["http://zotero.org/users/local/Eg2UsBJR/items/R4A4DWSH"],"itemData":{"id":260,"type":"article-journal","container-title":"Iranian Journal of Pathology","DOI":"10.30699/ijp.2021.131429.2456","ISSN":"2345-3656","issue":"4","journalAbbreviation":"Iran J Pathol","language":"en","page":"444-447","source":"DOI.org (Crossref)","title":"MIF and MMP-9 Serum Changes in Type II Diabetes and Non-Diabetic Subjects: A Short Communication","title-short":"MIF and MMP-9 Serum Changes in Type II Diabetes and Non-Diabetic Subjects","volume":"16","author":[{"family":"Rastgoo Haghi","given":"Alireza"},{"family":"Khorami","given":"Nasrin"},{"family":"Fotoohi","given":"Mahtab"},{"family":"Moradi","given":"Abbas"}],"issued":{"date-parts":[["2021",7,6]]}}}],"schema":"https://github.com/citation-style-language/schema/raw/master/csl-citation.json"}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(Rastgoo Haghi et al., 2021)</w:t>
      </w:r>
      <w:r w:rsidRPr="002646EE">
        <w:rPr>
          <w:rStyle w:val="NormalWebChar"/>
          <w:rFonts w:eastAsia="ArialMT"/>
        </w:rPr>
        <w:fldChar w:fldCharType="end"/>
      </w:r>
      <w:r w:rsidRPr="002646EE">
        <w:rPr>
          <w:rStyle w:val="NormalWebChar"/>
          <w:rFonts w:eastAsia="ArialMT"/>
        </w:rPr>
        <w:t>. The increased activity of MMP-9 in vascular endothelial cells under hyperglycemia is partly due to the elevated transcription of MMP-9 through a redox-sensitive mechanism</w:t>
      </w:r>
      <w:r w:rsidRPr="002646EE">
        <w:rPr>
          <w:rStyle w:val="NormalWebChar"/>
          <w:rFonts w:eastAsia="ArialMT"/>
        </w:rPr>
        <w:fldChar w:fldCharType="begin"/>
      </w:r>
      <w:r w:rsidRPr="002646EE">
        <w:rPr>
          <w:rStyle w:val="NormalWebChar"/>
          <w:rFonts w:eastAsia="ArialMT"/>
        </w:rPr>
        <w:instrText xml:space="preserve"> ADDIN ZOTERO_ITEM CSL_CITATION {"citationID":"mDxYMax6","properties":{"formattedCitation":"(Uemura et al., 2001)","plainCitation":"(Uemura et al., 2001)","noteIndex":0},"citationItems":[{"id":262,"uris":["http://zotero.org/users/local/Eg2UsBJR/items/W5NNHQZU"],"itemData":{"id":262,"type":"article-journal","abstract":"Abstract\n              —Diabetes mellitus (DM) is a primary risk factor for cardiovascular disease. Although recent studies have demonstrated an important role for extracellular matrix metalloproteinases (MMPs) in atherosclerosis, little is known about the effects of hyperglycemia on MMP regulation in vascular cells. Gelatin zymography and Western blot analysis revealed that the activity and expression of 92-kDa (MMP-9) gelatinase, but not of 72 kDa (MMP-2) gelatinase, were significantly increased in vascular tissue and plasma of two distinct rodent models of DM. Bovine aortic endothelial cells (BAECs) grown in culture did not express MMP-9 constitutively; however, chronic (2-week) incubation with high glucose medium induced MMP-9 promoter activity, mRNA and protein expression, and gelatinase activity in BAECs. On the other hand, high glucose culture did not change MMP-9 activity from vascular smooth muscle cells or macrophages. Electron paramagnetic resonance studies indicate that BAECs chronically grown in high glucose conditions produce 70% more ROS than do control cells. Enhanced MMP-9 activity was significantly reduced by treatment with the antioxidants polyethylene glycol–superoxide dismutase and\n              N\n              -acetyl-\n              l\n              -cysteine but not by inhibitors of protein kinase C. In conclusion, vascular MMP-9 activity is increased in DM, in part because of enhanced elaboration from vascular endothelial cells, and oxidative stress plays an important role. This novel mechanism of redox-sensitive MMP-9 expression by hyperglycemia may provide a rationale for antioxidant therapy to modulate diabetic vascular complications.","container-title":"Circulation Research","DOI":"10.1161/hh1201.092042","ISSN":"0009-7330, 1524-4571","issue":"12","journalAbbreviation":"Circulation Research","language":"en","page":"1291-1298","source":"DOI.org (Crossref)","title":"Diabetes Mellitus Enhances Vascular Matrix Metalloproteinase Activity: Role of Oxidative Stress","title-short":"Diabetes Mellitus Enhances Vascular Matrix Metalloproteinase Activity","volume":"88","author":[{"family":"Uemura","given":"Shiro"},{"family":"Matsushita","given":"Hidetsugu"},{"family":"Li","given":"Wei"},{"family":"Glassford","given":"Alexander J."},{"family":"Asagami","given":"Tomoko"},{"family":"Lee","given":"Keun-Ho"},{"family":"Harrison","given":"David G."},{"family":"Tsao","given":"Philip S."}],"issued":{"date-parts":[["2001",6,22]]}}}],"schema":"https://github.com/citation-style-language/schema/raw/master/csl-citation.json"}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(Uemura et al., 2001)</w:t>
      </w:r>
      <w:r w:rsidRPr="002646EE">
        <w:rPr>
          <w:rStyle w:val="NormalWebChar"/>
          <w:rFonts w:eastAsia="ArialMT"/>
        </w:rPr>
        <w:fldChar w:fldCharType="end"/>
      </w:r>
      <w:r w:rsidRPr="002646EE">
        <w:rPr>
          <w:rStyle w:val="NormalWebChar"/>
          <w:rFonts w:eastAsia="ArialMT"/>
        </w:rPr>
        <w:t>.</w:t>
      </w:r>
    </w:p>
    <w:p w:rsidR="00765090" w:rsidRPr="002646EE" w:rsidRDefault="00765090" w:rsidP="00765090">
      <w:pPr>
        <w:spacing w:after="0" w:line="360" w:lineRule="auto"/>
        <w:jc w:val="both"/>
        <w:rPr>
          <w:rStyle w:val="NormalWebChar"/>
          <w:rFonts w:eastAsia="ArialMT"/>
        </w:rPr>
      </w:pPr>
      <w:r w:rsidRPr="002646EE">
        <w:rPr>
          <w:rFonts w:ascii="Times New Roman" w:hAnsi="Times New Roman" w:cs="Times New Roman"/>
          <w:sz w:val="24"/>
          <w:szCs w:val="24"/>
        </w:rPr>
        <w:t>Inflammation reduces insulin sensitivity in part by activating the Toll-Like Receptor (TLR) family of pattern recognition receptors, with TLR4 playing a significant role in insulin resistance. TLR4, a cell surface receptor, initiates innate immune responses to pathogens by inducing signalling cascades that activate kinases and transcription factors. These cascades result in the production of pro-inflammatory cytokines, chemokines, eicosanoids, and reactive oxygen species (ROS), key effectors of innate immunity. TLR4 is expressed in various insulin target tissues, including the liver, adipose tissue, skeletal muscle, vasculature, pancreatic β cells, and brain. Consequently, TLR4 activation can impair insulin action directly by activating pro-inflammatory kinases and ROS, and indirectly by triggering cytokine signaling cascades and the systemic release of insulin-desensitizing, pro-inflammatory factors</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{"citationID":"BozuePcb","properties":{"formattedCitation":"(Kim &amp; Sears, 2010)","plainCitation":"(Kim &amp; Sears, 2010)","noteIndex":0},"citationItems":[{"id":263,"uris":["http://zotero.org/users/local/Eg2UsBJR/items/STKSTBRC"],"itemData":{"id":263,"type":"article-journal","abstract":"Chronic inflammation is a key feature of insulin resistance and obesity. Toll-Like Receptor 4 (TLR4), involved in modulating innate immunity, is an important mediator of insulin resistance and its comorbidities. TLR4 contributes to the development of insulin resistance and inflammation through its activation by elevated exogenous ligands (e.g., dietary fatty acids and enteric lipopolysaccharide) and endogenous ligands (e.g., free fatty acids) which are elevated in obese states. TLR4, expressed in insulin target tissues, activates proinflammatory kinases JNK, IKK, and p38 that impair insulin signal transduction directly through inhibitory phosphorylation of insulin receptor substrate (IRS) on serine residues. TLR4 activation also leads to increased transcription of pro-inflammatory genes, resulting in elevation of cytokine, chemokine, reactive oxygen species, and eicosanoid levels that promote further insulin-desensitization within the target cell itself and in other cells via paracrine and systemic effects. Increased understanding of cell type-specific TLR4-mediated effects on insulin action present the opportunity and challenge of developing related therapeutic approaches for improving insulin sensitivity while preserving innate immunity.","container-title":"Gastroenterology Research and Practice","DOI":"10.1155/2010/212563","ISSN":"1687-6121, 1687-630X","journalAbbreviation":"Gastroenterology Research and Practice","language":"en","license":"http://creativecommons.org/licenses/by/3.0/","page":"1-11","source":"DOI.org (Crossref)","title":"TLR4 and Insulin Resistance","volume":"2010","author":[{"family":"Kim","given":"Jane J."},{"family":"Sears","given":"Dorothy D."}],"issued":{"date-parts":[["2010"]]}}}],"schema":"https://github.com/citation-style-language/schema/raw/master/csl-citation.json"}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(Kim &amp; Sears, 2010)</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765090" w:rsidRPr="002646EE" w:rsidRDefault="00765090" w:rsidP="00765090">
      <w:pPr>
        <w:spacing w:after="0" w:line="360" w:lineRule="auto"/>
        <w:jc w:val="both"/>
        <w:rPr>
          <w:rStyle w:val="NormalWebChar"/>
          <w:rFonts w:eastAsia="ArialMT"/>
        </w:rPr>
      </w:pPr>
      <w:r w:rsidRPr="002646EE">
        <w:rPr>
          <w:rStyle w:val="NormalWebChar"/>
          <w:rFonts w:eastAsia="ArialMT"/>
        </w:rPr>
        <w:t>IGF-1 is crucial for maintaining normal insulin sensitivity; a deficiency in IGF-1 synthesis can lead to insulin resistance.In biological fluids, IGFs are accompanied by IGFBPs, which play a significant role in regulating the biological activity and metabolic signaling pathways of IGFs.. The liver's production of IGF-1 influences the reduction of IGF-1 levels, which in turn increases insulin levels in the blood, causing elevated blood glucose levels and insulin resistance. According to the National Health and Nutrition Examination Survey III, individuals with low serum IGF-1 levels face a higher risk of insulin resistance, metabol</w:t>
      </w:r>
      <w:r w:rsidR="00A74EE4" w:rsidRPr="002646EE">
        <w:rPr>
          <w:rStyle w:val="NormalWebChar"/>
          <w:rFonts w:eastAsia="ArialMT"/>
        </w:rPr>
        <w:t xml:space="preserve">ic syndrome, and T2DM </w:t>
      </w:r>
      <w:r w:rsidRPr="002646EE">
        <w:rPr>
          <w:rStyle w:val="NormalWebChar"/>
          <w:rFonts w:eastAsia="ArialMT"/>
        </w:rPr>
        <w:t xml:space="preserve">. Additionally, low IGF-1 levels have been shown to predict glucose intolerance </w:t>
      </w:r>
      <w:r w:rsidR="00A74EE4" w:rsidRPr="002646EE">
        <w:rPr>
          <w:rStyle w:val="NormalWebChar"/>
          <w:rFonts w:eastAsia="ArialMT"/>
        </w:rPr>
        <w:t xml:space="preserve">in T2DM </w:t>
      </w:r>
      <w:r w:rsidRPr="002646EE">
        <w:rPr>
          <w:rStyle w:val="NormalWebChar"/>
          <w:rFonts w:eastAsia="ArialMT"/>
        </w:rPr>
        <w:fldChar w:fldCharType="begin"/>
      </w:r>
      <w:r w:rsidRPr="002646EE">
        <w:rPr>
          <w:rStyle w:val="NormalWebChar"/>
          <w:rFonts w:eastAsia="ArialMT"/>
        </w:rPr>
        <w:instrText xml:space="preserve"> ADDIN ZOTERO_ITEM CSL_CITATION {"citationID":"HOj1lk1g","properties":{"formattedCitation":"(Biadgo et al., 2020)","plainCitation":"(Biadgo et al., 2020)","noteIndex":0},"citationItems":[{"id":265,"uris":["http://zotero.org/users/local/Eg2UsBJR/items/ACIJSNXM"],"itemData":{"id":265,"type":"article-journal","abstract":"BACKGROUND:\n              The insulin-like growth factor (IGF) system is an important system in normal physiological functioning of the body. In diabetes mellitus, alterations of IGF-binding protein (IGFBP) levels have been described, mainly in vascular complications.\n              AIM:\n              The aim\n of this review was to explore the role of the IGF system in reducing diabetes complications and its role as potential therapeutic target.\n              RESULTS:\n              IGF-1 plays a role in neuronal growth and developmental processes. Low concentrations of IGF-1 have been associated with neuropathy and\n other diabetes complications. Moreover, impaired IGF synthesis and function may result in cellular senescence and impaired vascular endothelial proliferation, adhesion, and integration. Of note, high IGF-1 bioavailability may prevent or delay the inception of diabetes-associated complications\n in diabetes patients. The mechanism of normal functioning IGF-1 is induced by increasing nitric oxide synthesis and potassium ion channel opening in cardiovascular physiology, which improves impaired small blood vessel function and reduces the occurrence of diabetes complications associated\n with reduced concentrations of IGF-1.\n              CONCLUSIONS:\n              IGF may be considered an alternative therapy for diabetes and diabetes-associated complications. Therefore, future studies should focus on the mechanism of action and therapeutic potential of IGFs in reducing the risk of development\n and progression of the disease in different clinical settings.","container-title":"Review of Diabetic Studies","DOI":"10.1900/RDS.2020.16.24","ISSN":"1613-6071","issue":"1","journalAbbreviation":"Review of Diabetic Studies","language":"en","page":"24-34","source":"DOI.org (Crossref)","title":"Insulin-like Growth Factor and its Therapeutic Potential for Diabetes Complications Mechanisms and Metabolic Links: A Review","title-short":"Insulin-like Growth Factor and its Therapeutic Potential for Diabetes Complications Mechanisms and Metabolic Links","volume":"16","author":[{"family":"Biadgo","given":"Belete"},{"family":"Tamir","given":"Workineh"},{"family":"Ambachew","given":"Sintayehu"}],"issued":{"date-parts":[["2020",7,30]]}}}],"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(Biadgo et al., 2020)</w:t>
      </w:r>
      <w:r w:rsidRPr="002646EE">
        <w:rPr>
          <w:rStyle w:val="NormalWebChar"/>
          <w:rFonts w:eastAsia="ArialMT"/>
        </w:rPr>
        <w:fldChar w:fldCharType="end"/>
      </w:r>
      <w:r w:rsidRPr="002646EE">
        <w:rPr>
          <w:rStyle w:val="NormalWebChar"/>
          <w:rFonts w:eastAsia="ArialMT"/>
        </w:rPr>
        <w:t>.</w:t>
      </w:r>
    </w:p>
    <w:p w:rsidR="00765090" w:rsidRPr="002646EE" w:rsidRDefault="00765090" w:rsidP="00765090">
      <w:pPr>
        <w:spacing w:after="0" w:line="360" w:lineRule="auto"/>
        <w:jc w:val="both"/>
        <w:rPr>
          <w:rStyle w:val="NormalWebChar"/>
          <w:rFonts w:eastAsia="ArialMT"/>
        </w:rPr>
      </w:pPr>
      <w:r w:rsidRPr="002646EE">
        <w:rPr>
          <w:rStyle w:val="NormalWebChar"/>
          <w:rFonts w:eastAsia="ArialMT"/>
        </w:rPr>
        <w:t>Overexpression of SOD2 ,is aimed at combating oxidative stress, reducing ROS, and enhancing antioxidant defense. A higher level of extracellular-SOD led to a six-fold increase i</w:t>
      </w:r>
      <w:r w:rsidR="00037342" w:rsidRPr="002646EE">
        <w:rPr>
          <w:rStyle w:val="NormalWebChar"/>
          <w:rFonts w:eastAsia="ArialMT"/>
        </w:rPr>
        <w:t>n the total its</w:t>
      </w:r>
      <w:r w:rsidRPr="002646EE">
        <w:rPr>
          <w:rStyle w:val="NormalWebChar"/>
          <w:rFonts w:eastAsia="ArialMT"/>
        </w:rPr>
        <w:t xml:space="preserve"> activity in the islets, preventing superoxide radicals secreted into the extracellular space from contributing to β-cell destruction. Elevated SOD2 levels have been shown to alleviate oxidative stress, reduce mitochondrial cytochrome C release, and decrease apoptosis. Increased oxidative stress and a reduction in antioxidant capacity are associated with co</w:t>
      </w:r>
      <w:r w:rsidR="00A74EE4" w:rsidRPr="002646EE">
        <w:rPr>
          <w:rStyle w:val="NormalWebChar"/>
          <w:rFonts w:eastAsia="ArialMT"/>
        </w:rPr>
        <w:t xml:space="preserve">mplications in </w:t>
      </w:r>
      <w:r w:rsidRPr="002646EE">
        <w:rPr>
          <w:rStyle w:val="NormalWebChar"/>
          <w:rFonts w:eastAsia="ArialMT"/>
        </w:rPr>
        <w:t>, such as oxidative DNA damage and insulin resistance. A decline in the plasma's antioxidant potential of SOD2 contributes to the complications of diabetes.</w:t>
      </w:r>
    </w:p>
    <w:p w:rsidR="00765090" w:rsidRPr="002646EE" w:rsidRDefault="00765090" w:rsidP="00765090">
      <w:pPr>
        <w:spacing w:after="0" w:line="360" w:lineRule="auto"/>
        <w:jc w:val="both"/>
        <w:rPr>
          <w:rStyle w:val="NormalWebChar"/>
          <w:rFonts w:eastAsia="ArialMT"/>
        </w:rPr>
      </w:pPr>
      <w:r w:rsidRPr="002646EE">
        <w:rPr>
          <w:rStyle w:val="NormalWebChar"/>
          <w:rFonts w:eastAsia="ArialMT"/>
        </w:rPr>
        <w:lastRenderedPageBreak/>
        <w:t>Insulin resistance is linked to metabolic dyslipidemia, and the role of apoE isoforms in lipid metabolism may be crucial in the development of T2DM . Previous studies have shown that serum apoE levels are elevated in individuals with T2DM .Additionally, serum apoE levels have been independently associated with urinary albumin excretion in T2DM patients. These levels are significantly higher in patients with both albuminuria and T2DM compared to those with only T2DM , suggesting a connection between apoE and T2DM along with its complications</w:t>
      </w:r>
      <w:r w:rsidRPr="002646EE">
        <w:rPr>
          <w:rStyle w:val="NormalWebChar"/>
          <w:rFonts w:eastAsia="ArialMT"/>
        </w:rPr>
        <w:fldChar w:fldCharType="begin"/>
      </w:r>
      <w:r w:rsidRPr="002646EE">
        <w:rPr>
          <w:rStyle w:val="NormalWebChar"/>
          <w:rFonts w:eastAsia="ArialMT"/>
        </w:rPr>
        <w:instrText xml:space="preserve"> ADDIN ZOTERO_ITEM CSL_CITATION {"citationID":"wMogwSrt","properties":{"formattedCitation":"(Zhang et al., 2017)","plainCitation":"(Zhang et al., 2017)","noteIndex":0},"citationItems":[{"id":267,"uris":["http://zotero.org/users/local/Eg2UsBJR/items/Y367MTTK"],"itemData":{"id":267,"type":"article-journal","container-title":"Molecular Medicine Reports","DOI":"10.3892/mmr.2017.7831","ISSN":"1791-2997, 1791-3004","issue":"6","language":"en","page":"9279-9286","source":"DOI.org (Crossref)","title":"Apolipoprotein status in type 2 diabetes mellitus and its complications","volume":"16","author":[{"family":"Zhang","given":"Puhong"},{"family":"Gao","given":"Jialin"},{"family":"Pu","given":"Chun"},{"family":"Zhang","given":"Yao"}],"issued":{"date-parts":[["2017",12]]}}}],"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(Zhang et al., 2017)</w:t>
      </w:r>
      <w:r w:rsidRPr="002646EE">
        <w:rPr>
          <w:rStyle w:val="NormalWebChar"/>
          <w:rFonts w:eastAsia="ArialMT"/>
        </w:rPr>
        <w:fldChar w:fldCharType="end"/>
      </w:r>
      <w:r w:rsidRPr="002646EE">
        <w:rPr>
          <w:rStyle w:val="NormalWebChar"/>
          <w:rFonts w:eastAsia="ArialMT"/>
        </w:rPr>
        <w:t>.</w:t>
      </w:r>
    </w:p>
    <w:p w:rsidR="00765090" w:rsidRPr="002646EE" w:rsidRDefault="00765090" w:rsidP="00765090">
      <w:pPr>
        <w:spacing w:after="0" w:line="360" w:lineRule="auto"/>
        <w:jc w:val="both"/>
        <w:rPr>
          <w:rStyle w:val="NormalWebChar"/>
          <w:rFonts w:eastAsia="ArialMT"/>
        </w:rPr>
      </w:pPr>
      <w:r w:rsidRPr="002646EE">
        <w:rPr>
          <w:rFonts w:ascii="Times New Roman" w:hAnsi="Times New Roman" w:cs="Times New Roman"/>
          <w:sz w:val="24"/>
          <w:szCs w:val="24"/>
        </w:rPr>
        <w:t>Low circulating albumin serves as a</w:t>
      </w:r>
      <w:r w:rsidR="00037342" w:rsidRPr="002646EE">
        <w:rPr>
          <w:rFonts w:ascii="Times New Roman" w:hAnsi="Times New Roman" w:cs="Times New Roman"/>
          <w:sz w:val="24"/>
          <w:szCs w:val="24"/>
        </w:rPr>
        <w:t>n indicator of inflammation, A</w:t>
      </w:r>
      <w:r w:rsidRPr="002646EE">
        <w:rPr>
          <w:rFonts w:ascii="Times New Roman" w:hAnsi="Times New Roman" w:cs="Times New Roman"/>
          <w:sz w:val="24"/>
          <w:szCs w:val="24"/>
        </w:rPr>
        <w:t>lbumin is a negative acute-phase reactant, with lower levels suggesting greater inflammatory activity. Consequently, reduced circulating albumin might be associated with a heightened risk of T2DM. Indeed, individuals with T2DM have lower circulating albumin levels compared to those without the condition. The current study shows that lower albumin is linked to higher glucose concentrations and an increased risk of developing T2DM, suggesting a potential mechanism that affects albumin levels and contributes to T2DM pathogenesis. Glycated albumin has an impaired ability to bind various ligands and serves as a precursor to advanced glycation end-products, which contribute to oxidative stress and inflammation</w:t>
      </w:r>
      <w:r w:rsidRPr="002646EE">
        <w:rPr>
          <w:rFonts w:ascii="Times New Roman" w:hAnsi="Times New Roman" w:cs="Times New Roman"/>
          <w:sz w:val="24"/>
          <w:szCs w:val="24"/>
        </w:rPr>
        <w:fldChar w:fldCharType="begin"/>
      </w:r>
      <w:r w:rsidRPr="002646EE">
        <w:rPr>
          <w:rFonts w:ascii="Times New Roman" w:hAnsi="Times New Roman" w:cs="Times New Roman"/>
          <w:sz w:val="24"/>
          <w:szCs w:val="24"/>
        </w:rPr>
        <w:instrText xml:space="preserve"> ADDIN ZOTERO_ITEM CSL_CITATION {"citationID":"0S7dCkq7","properties":{"formattedCitation":"(Chang et al., 2019)","plainCitation":"(Chang et al., 2019)","noteIndex":0},"citationItems":[{"id":269,"uris":["http://zotero.org/users/local/Eg2UsBJR/items/W2HXMCNH"],"itemData":{"id":269,"type":"article-journal","container-title":"Diabetology &amp; Metabolic Syndrome","DOI":"10.1186/s13098-019-0409-y","ISSN":"1758-5996","issue":"1","journalAbbreviation":"Diabetol Metab Syndr","language":"en","page":"14","source":"DOI.org (Crossref)","title":"Reduced plasma albumin predicts type 2 diabetes and is associated with greater adipose tissue macrophage content and activation","volume":"11","author":[{"family":"Chang","given":"Douglas C."},{"family":"Xu","given":"Xiaoyuan"},{"family":"Ferrante","given":"Anthony W."},{"family":"Krakoff","given":"Jonathan"}],"issued":{"date-parts":[["2019",12]]}}}],"schema":"https://github.com/citation-style-language/schema/raw/master/csl-citation.json"} </w:instrText>
      </w:r>
      <w:r w:rsidRPr="002646EE">
        <w:rPr>
          <w:rFonts w:ascii="Times New Roman" w:hAnsi="Times New Roman" w:cs="Times New Roman"/>
          <w:sz w:val="24"/>
          <w:szCs w:val="24"/>
        </w:rPr>
        <w:fldChar w:fldCharType="separate"/>
      </w:r>
      <w:r w:rsidRPr="002646EE">
        <w:rPr>
          <w:rFonts w:ascii="Times New Roman" w:hAnsi="Times New Roman" w:cs="Times New Roman"/>
          <w:sz w:val="24"/>
          <w:szCs w:val="24"/>
        </w:rPr>
        <w:t>(Chang et al., 2019)</w:t>
      </w:r>
      <w:r w:rsidRPr="002646EE">
        <w:rPr>
          <w:rFonts w:ascii="Times New Roman" w:hAnsi="Times New Roman" w:cs="Times New Roman"/>
          <w:sz w:val="24"/>
          <w:szCs w:val="24"/>
        </w:rPr>
        <w:fldChar w:fldCharType="end"/>
      </w:r>
      <w:r w:rsidRPr="002646EE">
        <w:rPr>
          <w:rFonts w:ascii="Times New Roman" w:hAnsi="Times New Roman" w:cs="Times New Roman"/>
          <w:sz w:val="24"/>
          <w:szCs w:val="24"/>
        </w:rPr>
        <w:t>.</w:t>
      </w:r>
    </w:p>
    <w:p w:rsidR="00765090" w:rsidRPr="002646EE" w:rsidRDefault="00765090" w:rsidP="00765090">
      <w:pPr>
        <w:spacing w:after="0" w:line="360" w:lineRule="auto"/>
        <w:jc w:val="both"/>
        <w:rPr>
          <w:rStyle w:val="NormalWebChar"/>
          <w:rFonts w:eastAsia="ArialMT"/>
        </w:rPr>
      </w:pPr>
      <w:r w:rsidRPr="002646EE">
        <w:rPr>
          <w:rStyle w:val="NormalWebChar"/>
          <w:rFonts w:eastAsia="ArialMT"/>
        </w:rPr>
        <w:t xml:space="preserve"> Activation of VEGF receptor 2 (VEGFR2) by VEGF-A at the onset of a high-fat diet exacerbates metabolic alterations in mice. Overexpression of VEGF-A in β-cells leads to disorganized, hypervascularized, and fibrotic islets, along with progressive macrophage infiltration and proinflammatory cytokine production. This results in impaired insulin secretion, reduced β-cell mass, and age-related hyperglycemia. Conversely, VEGF-A production appears to be decreased in the cells of patients with Type 2 diabetes</w:t>
      </w:r>
      <w:r w:rsidRPr="002646EE">
        <w:rPr>
          <w:rStyle w:val="NormalWebChar"/>
          <w:rFonts w:eastAsia="ArialMT"/>
        </w:rPr>
        <w:fldChar w:fldCharType="begin"/>
      </w:r>
      <w:r w:rsidRPr="002646EE">
        <w:rPr>
          <w:rStyle w:val="NormalWebChar"/>
          <w:rFonts w:eastAsia="ArialMT"/>
        </w:rPr>
        <w:instrText xml:space="preserve"> ADDIN ZOTERO_ITEM CSL_CITATION {"citationID":"ncQgkAGs","properties":{"formattedCitation":"(Elias et al., 2013)","plainCitation":"(Elias et al., 2013)","noteIndex":0},"citationItems":[{"id":271,"uris":["http://zotero.org/users/local/Eg2UsBJR/items/NJITI5EQ"],"itemData":{"id":271,"type":"article-journal","container-title":"Adipocyte","DOI":"10.4161/adip.22880","ISSN":"2162-3945, 2162-397X","issue":"2","journalAbbreviation":"Adipocyte","language":"en","page":"109-112","source":"DOI.org (Crossref)","title":"New insights into adipose tissue VEGF-A actions in the control of obesity and insulin resistance","volume":"2","author":[{"family":"Elias","given":"Ivet"},{"family":"Franckhauser","given":"Sylvie"},{"family":"Bosch","given":"Fatima"}],"issued":{"date-parts":[["2013",4]]}}}],"schema":"https://github.com/citation-style-language/schema/raw/master/csl-citation.json"}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(Elias et al., 2013)</w:t>
      </w:r>
      <w:r w:rsidRPr="002646EE">
        <w:rPr>
          <w:rStyle w:val="NormalWebChar"/>
          <w:rFonts w:eastAsia="ArialMT"/>
        </w:rPr>
        <w:fldChar w:fldCharType="end"/>
      </w:r>
      <w:r w:rsidRPr="002646EE">
        <w:rPr>
          <w:rStyle w:val="NormalWebChar"/>
          <w:rFonts w:eastAsia="ArialMT"/>
        </w:rPr>
        <w:t>.TGF-β signaling plays various roles in the development, proliferation, apoptosis, dedifferentiation, and function of islet cells. In cases of metabolic syndrome and diabetes, TGF-β signaling becomes systemically activated, with elevated serum levels of TGF-β1 observed in both patients with obesity and diabetic animal models.In high glucose conditions , TGF-β1 inhibit the replication of cells stimulated by the high glucose levels</w:t>
      </w:r>
      <w:r w:rsidRPr="002646EE">
        <w:rPr>
          <w:rStyle w:val="NormalWebChar"/>
          <w:rFonts w:eastAsia="ArialMT"/>
        </w:rPr>
        <w:fldChar w:fldCharType="begin"/>
      </w:r>
      <w:r w:rsidRPr="002646EE">
        <w:rPr>
          <w:rStyle w:val="NormalWebChar"/>
          <w:rFonts w:eastAsia="ArialMT"/>
        </w:rPr>
        <w:instrText xml:space="preserve"> ADDIN ZOTERO_ITEM CSL_CITATION {"citationID":"DpEC6Sfi","properties":{"formattedCitation":"(Wang et al., 2022)","plainCitation":"(Wang et al., 2022)","noteIndex":0},"citationItems":[{"id":273,"uris":["http://zotero.org/users/local/Eg2UsBJR/items/U525W5F9"],"itemData":{"id":273,"type":"article-journal","abstract":"Beta (β) cell dysfunction or loss is the common pathological feature in all types of diabetes mellitus (diabetes). Resolving the underlying mechanism may facilitate the treatment of diabetes by preserving the β cell population and function. It is known that TGF-β signaling plays diverse roles in β cell development, function, proliferation, apoptosis, and dedifferentiation. Inhibition of TGF-β signaling expands β cell lineage in the development. However, deletion of Tgfbr1 has no influence on insulin demand-induced but abolishes inflammation-induced β cell proliferation. Among canonical TGF-β signaling, Smad3 but not Smad2 is the predominant repressor of β cell proliferation in response to systemic insulin demand. Deletion of Smad3 simultaneously improves β cell function, apoptosis, and systemic insulin resistance with the consequence of eliminated overt diabetes in diabetic mouse models, revealing Smad3 as a key mediator and ideal therapeutic target for type-2 diabetes. However, Smad7 shows controversial effects on β cell proliferation and glucose homeostasis in animal studies. On the other hand, overexpression of Tgfb1 prevents β cells from autoimmune destruction without influence on β cell function. All these findings reveal the diverse regulatory roles of TGF-β signaling in β cell biology.","container-title":"Biomolecules","DOI":"10.3390/biom12030373","ISSN":"2218-273X","issue":"3","journalAbbreviation":"Biomolecules","language":"en","license":"https://creativecommons.org/licenses/by/4.0/","page":"373","source":"DOI.org (Crossref)","title":"Role of TGF-Beta Signaling in Beta Cell Proliferation and Function in Diabetes","volume":"12","author":[{"family":"Wang","given":"Hong-Lian"},{"family":"Wang","given":"Li"},{"family":"Zhao","given":"Chang-Ying"},{"family":"Lan","given":"Hui-Yao"}],"issued":{"date-parts":[["2022",2,26]]}}}],"schema":"https://github.com/citation-style-language/schema/raw/master/csl-citation.json"} </w:instrText>
      </w:r>
      <w:r w:rsidRPr="002646EE">
        <w:rPr>
          <w:rStyle w:val="NormalWebChar"/>
          <w:rFonts w:eastAsia="ArialMT"/>
        </w:rPr>
        <w:fldChar w:fldCharType="separate"/>
      </w:r>
      <w:r w:rsidRPr="002646EE">
        <w:rPr>
          <w:rFonts w:ascii="Times New Roman" w:hAnsi="Times New Roman" w:cs="Times New Roman"/>
          <w:sz w:val="24"/>
          <w:szCs w:val="24"/>
        </w:rPr>
        <w:t>(Wang et al., 2022)</w:t>
      </w:r>
      <w:r w:rsidRPr="002646EE">
        <w:rPr>
          <w:rStyle w:val="NormalWebChar"/>
          <w:rFonts w:eastAsia="ArialMT"/>
        </w:rPr>
        <w:fldChar w:fldCharType="end"/>
      </w:r>
      <w:r w:rsidRPr="002646EE">
        <w:rPr>
          <w:rStyle w:val="NormalWebChar"/>
          <w:rFonts w:eastAsia="ArialMT"/>
        </w:rPr>
        <w:t>.These are the fate of genes in diabetic condition, the above mentioned genes are targeted by both NK and VA connecting the above mentione</w:t>
      </w:r>
      <w:r w:rsidR="00037342" w:rsidRPr="002646EE">
        <w:rPr>
          <w:rStyle w:val="NormalWebChar"/>
          <w:rFonts w:eastAsia="ArialMT"/>
        </w:rPr>
        <w:t xml:space="preserve">d role of </w:t>
      </w:r>
      <w:r w:rsidRPr="002646EE">
        <w:rPr>
          <w:rStyle w:val="NormalWebChar"/>
          <w:rFonts w:eastAsia="ArialMT"/>
        </w:rPr>
        <w:t xml:space="preserve">genes </w:t>
      </w:r>
      <w:r w:rsidR="00037342" w:rsidRPr="002646EE">
        <w:rPr>
          <w:rStyle w:val="NormalWebChar"/>
          <w:rFonts w:eastAsia="ArialMT"/>
        </w:rPr>
        <w:t xml:space="preserve">with action of each classes of </w:t>
      </w:r>
      <w:r w:rsidRPr="002646EE">
        <w:rPr>
          <w:rStyle w:val="NormalWebChar"/>
          <w:rFonts w:eastAsia="ArialMT"/>
        </w:rPr>
        <w:t>compounds may give us future insights in mangement of T2DM.</w:t>
      </w:r>
    </w:p>
    <w:p w:rsidR="001E505F" w:rsidRPr="002646EE" w:rsidRDefault="001E505F" w:rsidP="00765090">
      <w:pPr>
        <w:spacing w:after="0" w:line="360" w:lineRule="auto"/>
        <w:jc w:val="both"/>
        <w:rPr>
          <w:rStyle w:val="NormalWebChar"/>
          <w:rFonts w:eastAsia="ArialMT"/>
        </w:rPr>
      </w:pPr>
    </w:p>
    <w:p w:rsidR="001E505F" w:rsidRPr="00A359D9" w:rsidRDefault="00E9163B" w:rsidP="00A359D9">
      <w:pPr>
        <w:pStyle w:val="Heading1"/>
        <w:jc w:val="left"/>
        <w:rPr>
          <w:rStyle w:val="NormalWebChar"/>
          <w:rFonts w:eastAsia="ArialMT"/>
          <w:bCs/>
          <w:sz w:val="26"/>
          <w:szCs w:val="26"/>
          <w:lang w:eastAsia="en-US"/>
        </w:rPr>
      </w:pPr>
      <w:bookmarkStart w:id="72" w:name="_Toc171420592"/>
      <w:r w:rsidRPr="00A359D9">
        <w:rPr>
          <w:rStyle w:val="NormalWebChar"/>
          <w:rFonts w:eastAsia="ArialMT"/>
          <w:bCs/>
          <w:sz w:val="26"/>
          <w:szCs w:val="26"/>
          <w:lang w:eastAsia="en-US"/>
        </w:rPr>
        <w:lastRenderedPageBreak/>
        <w:t xml:space="preserve">5. </w:t>
      </w:r>
      <w:r w:rsidR="001E505F" w:rsidRPr="00A359D9">
        <w:rPr>
          <w:rStyle w:val="NormalWebChar"/>
          <w:rFonts w:eastAsia="ArialMT"/>
          <w:bCs/>
          <w:sz w:val="26"/>
          <w:szCs w:val="26"/>
          <w:lang w:eastAsia="en-US"/>
        </w:rPr>
        <w:t>C</w:t>
      </w:r>
      <w:r w:rsidR="00672D8C" w:rsidRPr="00A359D9">
        <w:rPr>
          <w:rStyle w:val="NormalWebChar"/>
          <w:rFonts w:eastAsia="ArialMT"/>
          <w:bCs/>
          <w:sz w:val="26"/>
          <w:szCs w:val="26"/>
          <w:lang w:eastAsia="en-US"/>
        </w:rPr>
        <w:t>onclusion</w:t>
      </w:r>
      <w:bookmarkEnd w:id="72"/>
    </w:p>
    <w:p w:rsidR="00E9163B" w:rsidRPr="002646EE" w:rsidRDefault="00E9163B" w:rsidP="00E9163B">
      <w:pPr>
        <w:pStyle w:val="NormalWeb"/>
        <w:spacing w:line="360" w:lineRule="auto"/>
        <w:jc w:val="both"/>
      </w:pPr>
      <w:r w:rsidRPr="002646EE">
        <w:t>This study provides a comprehensive comparative analysis of NK and VA formulations, focusing on their phytochemical composition and their potential therapeutic targets in the context</w:t>
      </w:r>
      <w:r w:rsidR="006C00D1" w:rsidRPr="002646EE">
        <w:t xml:space="preserve"> of </w:t>
      </w:r>
      <w:r w:rsidRPr="002646EE">
        <w:t xml:space="preserve"> T2DM.</w:t>
      </w:r>
    </w:p>
    <w:p w:rsidR="004D11A5" w:rsidRPr="002646EE" w:rsidRDefault="004D11A5" w:rsidP="00E9163B">
      <w:pPr>
        <w:pStyle w:val="NormalWeb"/>
        <w:spacing w:line="360" w:lineRule="auto"/>
        <w:jc w:val="both"/>
      </w:pPr>
      <w:r w:rsidRPr="002646EE">
        <w:t>Comparing both formulations revealed 15 similar classes of compounds, with VA containing 16 unique classes and NK having 8 unique classes. The presence of similar phytochemicals in both formulations suggests they may exhibit comparable effects, though further experimental validation is needed. Each formulation’s distinct distribution of bioactives likely contributes to their different biological effects, warranting additional validation to confirm these analytical predictions.</w:t>
      </w:r>
    </w:p>
    <w:p w:rsidR="00E9163B" w:rsidRPr="002646EE" w:rsidRDefault="00E9163B" w:rsidP="00E9163B">
      <w:pPr>
        <w:pStyle w:val="NormalWeb"/>
        <w:spacing w:line="360" w:lineRule="auto"/>
        <w:jc w:val="both"/>
      </w:pPr>
      <w:r w:rsidRPr="002646EE">
        <w:t xml:space="preserve"> The present analysis revealed that NK and VA </w:t>
      </w:r>
      <w:r w:rsidR="0009727A">
        <w:t>share phytochemicals targeting 1</w:t>
      </w:r>
      <w:r w:rsidRPr="002646EE">
        <w:t>3 common diabetic-associated genes, with NK uniquely targeting an additional 10 genes and VA targeting 3 genes exclusively. Gene ontology and enrichment analysis further highlighted the biological significance of these targets.</w:t>
      </w:r>
    </w:p>
    <w:p w:rsidR="00E9163B" w:rsidRPr="002646EE" w:rsidRDefault="00E9163B" w:rsidP="00E9163B">
      <w:pPr>
        <w:pStyle w:val="NormalWeb"/>
        <w:spacing w:line="360" w:lineRule="auto"/>
        <w:jc w:val="both"/>
      </w:pPr>
      <w:r w:rsidRPr="002646EE">
        <w:t>Functional assays demonstrated the impact of NK and VA on cell viability. In STC-1 cells, both formulations showed similar efficacy, while in CaCo2 cells treated with palmitate, both NK and VA improved viability, suggesting protective effects against lipotoxicity. Additionally, the lipase inhibition assay indicated distinct effects of NK and VA on lipase activity, potentially contributing to their differential metabolic impacts.</w:t>
      </w:r>
    </w:p>
    <w:p w:rsidR="00672D8C" w:rsidRDefault="00E9163B" w:rsidP="00672D8C">
      <w:pPr>
        <w:pStyle w:val="NormalWeb"/>
        <w:spacing w:line="360" w:lineRule="auto"/>
        <w:jc w:val="both"/>
      </w:pPr>
      <w:r w:rsidRPr="002646EE">
        <w:t>Overall, this study underscores the therapeutic potential of NK and VA formulations in modulating key genetic and cellular pathways in T2DM, offering insights into their mechanisms of action and guiding future research for optimizing their clinical applicati</w:t>
      </w:r>
      <w:r w:rsidR="00D638F9" w:rsidRPr="002646EE">
        <w:t>on</w:t>
      </w:r>
    </w:p>
    <w:p w:rsidR="00A54FAA" w:rsidRDefault="00A54FAA" w:rsidP="00A54FAA">
      <w:pPr>
        <w:spacing w:after="9" w:line="360" w:lineRule="auto"/>
        <w:jc w:val="both"/>
        <w:rPr>
          <w:rFonts w:ascii="Times New Roman" w:hAnsi="Times New Roman" w:cs="Times New Roman"/>
          <w:sz w:val="24"/>
          <w:szCs w:val="24"/>
        </w:rPr>
      </w:pPr>
    </w:p>
    <w:p w:rsidR="0009727A" w:rsidRDefault="0009727A" w:rsidP="004912F4">
      <w:pPr>
        <w:pStyle w:val="Heading1"/>
        <w:jc w:val="left"/>
      </w:pPr>
    </w:p>
    <w:p w:rsidR="0009727A" w:rsidRDefault="0009727A" w:rsidP="0009727A"/>
    <w:p w:rsidR="0009727A" w:rsidRDefault="0009727A" w:rsidP="0009727A"/>
    <w:p w:rsidR="0009727A" w:rsidRDefault="0009727A" w:rsidP="0009727A"/>
    <w:p w:rsidR="0009727A" w:rsidRPr="0009727A" w:rsidRDefault="0009727A" w:rsidP="0009727A"/>
    <w:p w:rsidR="00CB2BBE" w:rsidRPr="002646EE" w:rsidRDefault="00D2094E" w:rsidP="004912F4">
      <w:pPr>
        <w:pStyle w:val="Heading1"/>
        <w:jc w:val="left"/>
      </w:pPr>
      <w:bookmarkStart w:id="73" w:name="_Toc171420593"/>
      <w:r w:rsidRPr="002646EE">
        <w:lastRenderedPageBreak/>
        <w:t>6.</w:t>
      </w:r>
      <w:r w:rsidR="00CB2BBE" w:rsidRPr="002646EE">
        <w:t>R</w:t>
      </w:r>
      <w:r w:rsidR="00672D8C" w:rsidRPr="002646EE">
        <w:t>eferences</w:t>
      </w:r>
      <w:bookmarkEnd w:id="73"/>
    </w:p>
    <w:p w:rsidR="00CB2BBE" w:rsidRPr="002646EE" w:rsidRDefault="00CB2BBE" w:rsidP="00CB2BBE">
      <w:pPr>
        <w:autoSpaceDE w:val="0"/>
        <w:autoSpaceDN w:val="0"/>
        <w:adjustRightInd w:val="0"/>
        <w:spacing w:after="0" w:line="240" w:lineRule="auto"/>
        <w:rPr>
          <w:rFonts w:ascii="Times New Roman" w:eastAsia="ArialMT" w:hAnsi="Times New Roman" w:cs="Times New Roman"/>
          <w:sz w:val="24"/>
          <w:szCs w:val="24"/>
        </w:rPr>
      </w:pPr>
    </w:p>
    <w:p w:rsidR="00C36252" w:rsidRPr="00C10683" w:rsidRDefault="00C36252" w:rsidP="00C10683">
      <w:pPr>
        <w:pStyle w:val="Bibliography"/>
        <w:jc w:val="both"/>
        <w:rPr>
          <w:rFonts w:ascii="Times New Roman" w:hAnsi="Times New Roman" w:cs="Times New Roman"/>
          <w:sz w:val="24"/>
          <w:szCs w:val="24"/>
        </w:rPr>
      </w:pPr>
      <w:r w:rsidRPr="002646EE">
        <w:rPr>
          <w:rFonts w:ascii="Times New Roman" w:hAnsi="Times New Roman" w:cs="Times New Roman"/>
          <w:b/>
          <w:sz w:val="24"/>
          <w:szCs w:val="24"/>
        </w:rPr>
        <w:t>1</w:t>
      </w:r>
      <w:r w:rsidR="00CB2BBE" w:rsidRPr="00C10683">
        <w:rPr>
          <w:rFonts w:ascii="Times New Roman" w:hAnsi="Times New Roman" w:cs="Times New Roman"/>
          <w:sz w:val="24"/>
          <w:szCs w:val="24"/>
        </w:rPr>
        <w:fldChar w:fldCharType="begin"/>
      </w:r>
      <w:r w:rsidR="00CB2BBE" w:rsidRPr="00C10683">
        <w:rPr>
          <w:rFonts w:ascii="Times New Roman" w:hAnsi="Times New Roman" w:cs="Times New Roman"/>
          <w:sz w:val="24"/>
          <w:szCs w:val="24"/>
        </w:rPr>
        <w:instrText xml:space="preserve"> ADDIN ZOTERO_BIBL {"uncited":[],"omitted":[],"custom":[]} CSL_BIBLIOGRAPHY </w:instrText>
      </w:r>
      <w:r w:rsidR="00CB2BBE" w:rsidRPr="00C10683">
        <w:rPr>
          <w:rFonts w:ascii="Times New Roman" w:hAnsi="Times New Roman" w:cs="Times New Roman"/>
          <w:sz w:val="24"/>
          <w:szCs w:val="24"/>
        </w:rPr>
        <w:fldChar w:fldCharType="separate"/>
      </w:r>
      <w:r w:rsidR="00CB2BBE" w:rsidRPr="00C10683">
        <w:rPr>
          <w:rFonts w:ascii="Times New Roman" w:hAnsi="Times New Roman" w:cs="Times New Roman"/>
          <w:sz w:val="24"/>
          <w:szCs w:val="24"/>
        </w:rPr>
        <w:t xml:space="preserve">. Gerstein, H. C., Hamilton, Miller, M. E., Byington, R. P., David C. Goff, &amp; Winston-Salem. (2008). Effects of Intensive Glucose Lowering in Type 2 Diabetes. </w:t>
      </w:r>
      <w:r w:rsidR="00CB2BBE" w:rsidRPr="00C10683">
        <w:rPr>
          <w:rFonts w:ascii="Times New Roman" w:hAnsi="Times New Roman" w:cs="Times New Roman"/>
          <w:i/>
          <w:iCs/>
          <w:sz w:val="24"/>
          <w:szCs w:val="24"/>
        </w:rPr>
        <w:t>New England Journal of Medicine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358</w:t>
      </w:r>
      <w:r w:rsidR="00CB2BBE" w:rsidRPr="00C10683">
        <w:rPr>
          <w:rFonts w:ascii="Times New Roman" w:hAnsi="Times New Roman" w:cs="Times New Roman"/>
          <w:sz w:val="24"/>
          <w:szCs w:val="24"/>
        </w:rPr>
        <w:t>(24), 2545–2559. https://doi.org/10.1056/NEJMoa0802743</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2</w:t>
      </w:r>
      <w:r w:rsidRPr="00C10683">
        <w:rPr>
          <w:rFonts w:ascii="Times New Roman" w:hAnsi="Times New Roman" w:cs="Times New Roman"/>
          <w:sz w:val="24"/>
          <w:szCs w:val="24"/>
        </w:rPr>
        <w:t>.</w:t>
      </w:r>
      <w:r w:rsidR="00CB2BBE" w:rsidRPr="00C10683">
        <w:rPr>
          <w:rFonts w:ascii="Times New Roman" w:hAnsi="Times New Roman" w:cs="Times New Roman"/>
          <w:sz w:val="24"/>
          <w:szCs w:val="24"/>
        </w:rPr>
        <w:t xml:space="preserve">Acharya, N., Acharya, S., Shah, U., Shah, R., &amp; Hingorani, L. (2016). A comprehensive analysis on Symplocos racemosa Roxb.: Traditional uses, botany, phytochemistry and pharmacological activities. </w:t>
      </w:r>
      <w:r w:rsidR="00CB2BBE" w:rsidRPr="00C10683">
        <w:rPr>
          <w:rFonts w:ascii="Times New Roman" w:hAnsi="Times New Roman" w:cs="Times New Roman"/>
          <w:i/>
          <w:iCs/>
          <w:sz w:val="24"/>
          <w:szCs w:val="24"/>
        </w:rPr>
        <w:t>Journal of Ethnopharmacology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181</w:t>
      </w:r>
      <w:r w:rsidR="00CB2BBE" w:rsidRPr="00C10683">
        <w:rPr>
          <w:rFonts w:ascii="Times New Roman" w:hAnsi="Times New Roman" w:cs="Times New Roman"/>
          <w:sz w:val="24"/>
          <w:szCs w:val="24"/>
        </w:rPr>
        <w:t>, 236–251. https://doi.org/10.1016/j.jep.2016.01.043</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3</w:t>
      </w:r>
      <w:r w:rsidRPr="00C10683">
        <w:rPr>
          <w:rFonts w:ascii="Times New Roman" w:hAnsi="Times New Roman" w:cs="Times New Roman"/>
          <w:sz w:val="24"/>
          <w:szCs w:val="24"/>
        </w:rPr>
        <w:t>.</w:t>
      </w:r>
      <w:r w:rsidR="00CB2BBE" w:rsidRPr="00C10683">
        <w:rPr>
          <w:rFonts w:ascii="Times New Roman" w:hAnsi="Times New Roman" w:cs="Times New Roman"/>
          <w:sz w:val="24"/>
          <w:szCs w:val="24"/>
        </w:rPr>
        <w:t xml:space="preserve">Agada, R., Lydia2, D. E., &amp; Khusro3, A. (2022). </w:t>
      </w:r>
      <w:r w:rsidR="00CB2BBE" w:rsidRPr="00C10683">
        <w:rPr>
          <w:rFonts w:ascii="Times New Roman" w:hAnsi="Times New Roman" w:cs="Times New Roman"/>
          <w:i/>
          <w:iCs/>
          <w:sz w:val="24"/>
          <w:szCs w:val="24"/>
        </w:rPr>
        <w:t>Studies on antioxidant, anti-diabetic and GC-MS analyses of methanol extract of Aristolochia bracteolata root bark</w:t>
      </w:r>
      <w:r w:rsidR="00CB2BBE" w:rsidRPr="00C10683">
        <w:rPr>
          <w:rFonts w:ascii="Times New Roman" w:hAnsi="Times New Roman" w:cs="Times New Roman"/>
          <w:sz w:val="24"/>
          <w:szCs w:val="24"/>
        </w:rPr>
        <w:t>. https://doi.org/doi.org/10.36721/PJPS.2022.35.5.REG.1287-1294.1</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4</w:t>
      </w:r>
      <w:r w:rsidRPr="00C10683">
        <w:rPr>
          <w:rFonts w:ascii="Times New Roman" w:hAnsi="Times New Roman" w:cs="Times New Roman"/>
          <w:sz w:val="24"/>
          <w:szCs w:val="24"/>
        </w:rPr>
        <w:t>.</w:t>
      </w:r>
      <w:r w:rsidR="00CB2BBE" w:rsidRPr="00C10683">
        <w:rPr>
          <w:rFonts w:ascii="Times New Roman" w:hAnsi="Times New Roman" w:cs="Times New Roman"/>
          <w:sz w:val="24"/>
          <w:szCs w:val="24"/>
        </w:rPr>
        <w:t xml:space="preserve">Akash, M. S. H., Rehman, K., &amp; Liaqat, A. (2018). Tumor Necrosis Factor‐Alpha: Role in Development of Insulin Resistance and Pathogenesis of Type 2 Diabetes Mellitus. </w:t>
      </w:r>
      <w:r w:rsidR="00CB2BBE" w:rsidRPr="00C10683">
        <w:rPr>
          <w:rFonts w:ascii="Times New Roman" w:hAnsi="Times New Roman" w:cs="Times New Roman"/>
          <w:i/>
          <w:iCs/>
          <w:sz w:val="24"/>
          <w:szCs w:val="24"/>
        </w:rPr>
        <w:t>Journal of Cellular Biochemistry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119</w:t>
      </w:r>
      <w:r w:rsidR="00CB2BBE" w:rsidRPr="00C10683">
        <w:rPr>
          <w:rFonts w:ascii="Times New Roman" w:hAnsi="Times New Roman" w:cs="Times New Roman"/>
          <w:sz w:val="24"/>
          <w:szCs w:val="24"/>
        </w:rPr>
        <w:t>(1), 105–110. https://doi.org/10.1002/jcb.26174</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5.</w:t>
      </w:r>
      <w:r w:rsidR="00CB2BBE" w:rsidRPr="00C10683">
        <w:rPr>
          <w:rFonts w:ascii="Times New Roman" w:hAnsi="Times New Roman" w:cs="Times New Roman"/>
          <w:sz w:val="24"/>
          <w:szCs w:val="24"/>
        </w:rPr>
        <w:t xml:space="preserve">Babu Sajja, R., &amp; Bhaskari D, S. (2015). </w:t>
      </w:r>
      <w:r w:rsidR="00CB2BBE" w:rsidRPr="00C10683">
        <w:rPr>
          <w:rFonts w:ascii="Times New Roman" w:hAnsi="Times New Roman" w:cs="Times New Roman"/>
          <w:i/>
          <w:iCs/>
          <w:sz w:val="24"/>
          <w:szCs w:val="24"/>
        </w:rPr>
        <w:t>EVALUATION OF ANTI-DIABETIC ACTIVITY OF ETHANOLIC EXTRACT OF DESMOSTACHYA BIPINNATA ON ALLOXAN INDUCED DIABETES IN RATS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Volume 4, Issue 06, 902-911</w:t>
      </w:r>
      <w:r w:rsidR="00CB2BBE" w:rsidRPr="00C10683">
        <w:rPr>
          <w:rFonts w:ascii="Times New Roman" w:hAnsi="Times New Roman" w:cs="Times New Roman"/>
          <w:sz w:val="24"/>
          <w:szCs w:val="24"/>
        </w:rPr>
        <w:t>.</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 </w:t>
      </w:r>
      <w:r w:rsidR="00CB2BBE" w:rsidRPr="00C10683">
        <w:rPr>
          <w:rFonts w:ascii="Times New Roman" w:hAnsi="Times New Roman" w:cs="Times New Roman"/>
          <w:sz w:val="24"/>
          <w:szCs w:val="24"/>
        </w:rPr>
        <w:t xml:space="preserve">Badole, S. L., Subhash, &amp; Bodhankar, L. (2008). Antihyperglycemic Activity of </w:t>
      </w:r>
      <w:r w:rsidR="00CB2BBE" w:rsidRPr="00C10683">
        <w:rPr>
          <w:rFonts w:ascii="Times New Roman" w:hAnsi="Times New Roman" w:cs="Times New Roman"/>
          <w:i/>
          <w:iCs/>
          <w:sz w:val="24"/>
          <w:szCs w:val="24"/>
        </w:rPr>
        <w:t>Pongamia pinnata</w:t>
      </w:r>
      <w:r w:rsidR="00CB2BBE" w:rsidRPr="00C10683">
        <w:rPr>
          <w:rFonts w:ascii="Times New Roman" w:hAnsi="Times New Roman" w:cs="Times New Roman"/>
          <w:sz w:val="24"/>
          <w:szCs w:val="24"/>
        </w:rPr>
        <w:t xml:space="preserve"> Stem Bark in Diabetic Mice. </w:t>
      </w:r>
      <w:r w:rsidR="00CB2BBE" w:rsidRPr="00C10683">
        <w:rPr>
          <w:rFonts w:ascii="Times New Roman" w:hAnsi="Times New Roman" w:cs="Times New Roman"/>
          <w:i/>
          <w:iCs/>
          <w:sz w:val="24"/>
          <w:szCs w:val="24"/>
        </w:rPr>
        <w:t>Pharmaceutical Biology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46</w:t>
      </w:r>
      <w:r w:rsidR="00CB2BBE" w:rsidRPr="00C10683">
        <w:rPr>
          <w:rFonts w:ascii="Times New Roman" w:hAnsi="Times New Roman" w:cs="Times New Roman"/>
          <w:sz w:val="24"/>
          <w:szCs w:val="24"/>
        </w:rPr>
        <w:t>(12), 900–905. https://doi.org/10.1080/13880200802370381</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7.</w:t>
      </w:r>
      <w:r w:rsidR="00CB2BBE" w:rsidRPr="00C10683">
        <w:rPr>
          <w:rFonts w:ascii="Times New Roman" w:hAnsi="Times New Roman" w:cs="Times New Roman"/>
          <w:sz w:val="24"/>
          <w:szCs w:val="24"/>
        </w:rPr>
        <w:t xml:space="preserve">Berg, G., &amp; Miksztowicz, V. (2015). Metalloproteinases in the pathogenesis and progression of metabolic syndrome: Potential targets for improved outcomes. </w:t>
      </w:r>
      <w:r w:rsidR="00CB2BBE" w:rsidRPr="00C10683">
        <w:rPr>
          <w:rFonts w:ascii="Times New Roman" w:hAnsi="Times New Roman" w:cs="Times New Roman"/>
          <w:i/>
          <w:iCs/>
          <w:sz w:val="24"/>
          <w:szCs w:val="24"/>
        </w:rPr>
        <w:t>Metalloproteinases In Medicine</w:t>
      </w:r>
      <w:r w:rsidR="00CB2BBE" w:rsidRPr="00C10683">
        <w:rPr>
          <w:rFonts w:ascii="Times New Roman" w:hAnsi="Times New Roman" w:cs="Times New Roman"/>
          <w:sz w:val="24"/>
          <w:szCs w:val="24"/>
        </w:rPr>
        <w:t>, 51. https://doi.org/10.2147/MNM.S88993</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 </w:t>
      </w:r>
      <w:r w:rsidR="00CB2BBE" w:rsidRPr="00C10683">
        <w:rPr>
          <w:rFonts w:ascii="Times New Roman" w:hAnsi="Times New Roman" w:cs="Times New Roman"/>
          <w:sz w:val="24"/>
          <w:szCs w:val="24"/>
        </w:rPr>
        <w:t xml:space="preserve">Bhishagratna, K. L. (1907). </w:t>
      </w:r>
      <w:r w:rsidR="00CB2BBE" w:rsidRPr="00C10683">
        <w:rPr>
          <w:rFonts w:ascii="Times New Roman" w:hAnsi="Times New Roman" w:cs="Times New Roman"/>
          <w:i/>
          <w:iCs/>
          <w:sz w:val="24"/>
          <w:szCs w:val="24"/>
        </w:rPr>
        <w:t>Sushrutha samhitha sutrasthanam</w:t>
      </w:r>
      <w:r w:rsidR="00CB2BBE" w:rsidRPr="00C10683">
        <w:rPr>
          <w:rFonts w:ascii="Times New Roman" w:hAnsi="Times New Roman" w:cs="Times New Roman"/>
          <w:sz w:val="24"/>
          <w:szCs w:val="24"/>
        </w:rPr>
        <w:t>.</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9. </w:t>
      </w:r>
      <w:r w:rsidR="00CB2BBE" w:rsidRPr="00C10683">
        <w:rPr>
          <w:rFonts w:ascii="Times New Roman" w:hAnsi="Times New Roman" w:cs="Times New Roman"/>
          <w:sz w:val="24"/>
          <w:szCs w:val="24"/>
        </w:rPr>
        <w:t xml:space="preserve">Biadgo, B., Tamir, W., &amp; Ambachew, S. (2020). Insulin-like Growth Factor and its Therapeutic Potential for Diabetes Complications Mechanisms and Metabolic Links: A Review. </w:t>
      </w:r>
      <w:r w:rsidR="00CB2BBE" w:rsidRPr="00C10683">
        <w:rPr>
          <w:rFonts w:ascii="Times New Roman" w:hAnsi="Times New Roman" w:cs="Times New Roman"/>
          <w:i/>
          <w:iCs/>
          <w:sz w:val="24"/>
          <w:szCs w:val="24"/>
        </w:rPr>
        <w:t>Review of Diabetic Studies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16</w:t>
      </w:r>
      <w:r w:rsidR="00CB2BBE" w:rsidRPr="00C10683">
        <w:rPr>
          <w:rFonts w:ascii="Times New Roman" w:hAnsi="Times New Roman" w:cs="Times New Roman"/>
          <w:sz w:val="24"/>
          <w:szCs w:val="24"/>
        </w:rPr>
        <w:t>(1), 24–34. https://doi.org/10.1900/RDS.2020.16.24</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10. </w:t>
      </w:r>
      <w:r w:rsidR="00CB2BBE" w:rsidRPr="00C10683">
        <w:rPr>
          <w:rFonts w:ascii="Times New Roman" w:hAnsi="Times New Roman" w:cs="Times New Roman"/>
          <w:sz w:val="24"/>
          <w:szCs w:val="24"/>
        </w:rPr>
        <w:t xml:space="preserve">Cao, R., Tian, H., Zhang, Y., Liu, G., Xu, H., Rao, G., Tian, Y., &amp; Fu, X. (2023). Signaling pathways and intervention for therapy of type 2 diabetes mellitus. </w:t>
      </w:r>
      <w:r w:rsidR="00CB2BBE" w:rsidRPr="00C10683">
        <w:rPr>
          <w:rFonts w:ascii="Times New Roman" w:hAnsi="Times New Roman" w:cs="Times New Roman"/>
          <w:i/>
          <w:iCs/>
          <w:sz w:val="24"/>
          <w:szCs w:val="24"/>
        </w:rPr>
        <w:t>MedComm</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4</w:t>
      </w:r>
      <w:r w:rsidR="00CB2BBE" w:rsidRPr="00C10683">
        <w:rPr>
          <w:rFonts w:ascii="Times New Roman" w:hAnsi="Times New Roman" w:cs="Times New Roman"/>
          <w:sz w:val="24"/>
          <w:szCs w:val="24"/>
        </w:rPr>
        <w:t>(3), e283. https://doi.org/10.1002/mco2.283</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11. </w:t>
      </w:r>
      <w:r w:rsidR="00CB2BBE" w:rsidRPr="00C10683">
        <w:rPr>
          <w:rFonts w:ascii="Times New Roman" w:hAnsi="Times New Roman" w:cs="Times New Roman"/>
          <w:sz w:val="24"/>
          <w:szCs w:val="24"/>
        </w:rPr>
        <w:t xml:space="preserve">Chang, D. C., Xu, X., Ferrante, A. W., &amp; Krakoff, J. (2019). Reduced plasma albumin predicts type 2 diabetes and is associated with greater adipose tissue macrophage content and activation. </w:t>
      </w:r>
      <w:r w:rsidR="00CB2BBE" w:rsidRPr="00C10683">
        <w:rPr>
          <w:rFonts w:ascii="Times New Roman" w:hAnsi="Times New Roman" w:cs="Times New Roman"/>
          <w:i/>
          <w:iCs/>
          <w:sz w:val="24"/>
          <w:szCs w:val="24"/>
        </w:rPr>
        <w:t>Diabetology &amp; Metabolic Syndrome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11</w:t>
      </w:r>
      <w:r w:rsidR="00CB2BBE" w:rsidRPr="00C10683">
        <w:rPr>
          <w:rFonts w:ascii="Times New Roman" w:hAnsi="Times New Roman" w:cs="Times New Roman"/>
          <w:sz w:val="24"/>
          <w:szCs w:val="24"/>
        </w:rPr>
        <w:t>(1), 14. https://doi.org/10.1186/s13098-019-0409-y</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12. </w:t>
      </w:r>
      <w:r w:rsidR="00CB2BBE" w:rsidRPr="00C10683">
        <w:rPr>
          <w:rFonts w:ascii="Times New Roman" w:hAnsi="Times New Roman" w:cs="Times New Roman"/>
          <w:sz w:val="24"/>
          <w:szCs w:val="24"/>
        </w:rPr>
        <w:t xml:space="preserve">Chao, C., Mong, M., Chan, K., &amp; Yin, M. (2010). Anti‐glycative and anti‐inflammatory effects of caffeic acid and ellagic acid in kidney of diabetic mice. </w:t>
      </w:r>
      <w:r w:rsidR="00CB2BBE" w:rsidRPr="00C10683">
        <w:rPr>
          <w:rFonts w:ascii="Times New Roman" w:hAnsi="Times New Roman" w:cs="Times New Roman"/>
          <w:i/>
          <w:iCs/>
          <w:sz w:val="24"/>
          <w:szCs w:val="24"/>
        </w:rPr>
        <w:t>Molecular Nutrition &amp; Food Research</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54</w:t>
      </w:r>
      <w:r w:rsidR="00CB2BBE" w:rsidRPr="00C10683">
        <w:rPr>
          <w:rFonts w:ascii="Times New Roman" w:hAnsi="Times New Roman" w:cs="Times New Roman"/>
          <w:sz w:val="24"/>
          <w:szCs w:val="24"/>
        </w:rPr>
        <w:t>(3), 388–395. https://doi.org/10.1002/mnfr.200900087</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13. </w:t>
      </w:r>
      <w:r w:rsidR="00CB2BBE" w:rsidRPr="00C10683">
        <w:rPr>
          <w:rFonts w:ascii="Times New Roman" w:hAnsi="Times New Roman" w:cs="Times New Roman"/>
          <w:sz w:val="24"/>
          <w:szCs w:val="24"/>
        </w:rPr>
        <w:t xml:space="preserve">Chatterjee, S., Khunti, K., &amp; Davies, M. J. (2017). Type 2 diabetes. </w:t>
      </w:r>
      <w:r w:rsidR="00CB2BBE" w:rsidRPr="00C10683">
        <w:rPr>
          <w:rFonts w:ascii="Times New Roman" w:hAnsi="Times New Roman" w:cs="Times New Roman"/>
          <w:i/>
          <w:iCs/>
          <w:sz w:val="24"/>
          <w:szCs w:val="24"/>
        </w:rPr>
        <w:t>The Lancet</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389</w:t>
      </w:r>
      <w:r w:rsidR="00CB2BBE" w:rsidRPr="00C10683">
        <w:rPr>
          <w:rFonts w:ascii="Times New Roman" w:hAnsi="Times New Roman" w:cs="Times New Roman"/>
          <w:sz w:val="24"/>
          <w:szCs w:val="24"/>
        </w:rPr>
        <w:t>(10085), 2239–2251. https://doi.org/10.1016/S0140-6736(17)30058-2</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lastRenderedPageBreak/>
        <w:t xml:space="preserve">14. </w:t>
      </w:r>
      <w:r w:rsidR="00CB2BBE" w:rsidRPr="00C10683">
        <w:rPr>
          <w:rFonts w:ascii="Times New Roman" w:hAnsi="Times New Roman" w:cs="Times New Roman"/>
          <w:sz w:val="24"/>
          <w:szCs w:val="24"/>
        </w:rPr>
        <w:t xml:space="preserve">Cheng, G., Qin, X., Gorret, A. M., Deo, K., An, C., Liu, J., &amp; Gilbert, A. (2019). A review of urinary angiotensin converting enzyme 2 in diabetes and diabetic nephropathy. </w:t>
      </w:r>
      <w:r w:rsidR="00CB2BBE" w:rsidRPr="00C10683">
        <w:rPr>
          <w:rFonts w:ascii="Times New Roman" w:hAnsi="Times New Roman" w:cs="Times New Roman"/>
          <w:i/>
          <w:iCs/>
          <w:sz w:val="24"/>
          <w:szCs w:val="24"/>
        </w:rPr>
        <w:t>Biochemia Medica</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29</w:t>
      </w:r>
      <w:r w:rsidR="00CB2BBE" w:rsidRPr="00C10683">
        <w:rPr>
          <w:rFonts w:ascii="Times New Roman" w:hAnsi="Times New Roman" w:cs="Times New Roman"/>
          <w:sz w:val="24"/>
          <w:szCs w:val="24"/>
        </w:rPr>
        <w:t>(1), 28–38. https://doi.org/10.11613/BM.2019.010501</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15. </w:t>
      </w:r>
      <w:r w:rsidR="00CB2BBE" w:rsidRPr="00C10683">
        <w:rPr>
          <w:rFonts w:ascii="Times New Roman" w:hAnsi="Times New Roman" w:cs="Times New Roman"/>
          <w:sz w:val="24"/>
          <w:szCs w:val="24"/>
        </w:rPr>
        <w:t xml:space="preserve">Cheon, H., &amp; Cho, Y. (2014). Protection of palmitic acid-mediated lipotoxicity by arachidonic acid via channeling of palmitic acid into triglycerides in C2C12. </w:t>
      </w:r>
      <w:r w:rsidR="00CB2BBE" w:rsidRPr="00C10683">
        <w:rPr>
          <w:rFonts w:ascii="Times New Roman" w:hAnsi="Times New Roman" w:cs="Times New Roman"/>
          <w:i/>
          <w:iCs/>
          <w:sz w:val="24"/>
          <w:szCs w:val="24"/>
        </w:rPr>
        <w:t>Journal of Biomedical Science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21</w:t>
      </w:r>
      <w:r w:rsidR="00CB2BBE" w:rsidRPr="00C10683">
        <w:rPr>
          <w:rFonts w:ascii="Times New Roman" w:hAnsi="Times New Roman" w:cs="Times New Roman"/>
          <w:sz w:val="24"/>
          <w:szCs w:val="24"/>
        </w:rPr>
        <w:t>(1), 13. https://doi.org/10.1186/1423-0127-21-13</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16. </w:t>
      </w:r>
      <w:r w:rsidR="00CB2BBE" w:rsidRPr="00C10683">
        <w:rPr>
          <w:rFonts w:ascii="Times New Roman" w:hAnsi="Times New Roman" w:cs="Times New Roman"/>
          <w:sz w:val="24"/>
          <w:szCs w:val="24"/>
        </w:rPr>
        <w:t xml:space="preserve">Dali-Youcef, N., Mecili, M., Ricci, R., &amp; Andrès, E. (2013). Metabolic inflammation: Connecting obesity and insulin resistance. </w:t>
      </w:r>
      <w:r w:rsidR="00CB2BBE" w:rsidRPr="00C10683">
        <w:rPr>
          <w:rFonts w:ascii="Times New Roman" w:hAnsi="Times New Roman" w:cs="Times New Roman"/>
          <w:i/>
          <w:iCs/>
          <w:sz w:val="24"/>
          <w:szCs w:val="24"/>
        </w:rPr>
        <w:t>Annals of Medicine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45</w:t>
      </w:r>
      <w:r w:rsidR="00CB2BBE" w:rsidRPr="00C10683">
        <w:rPr>
          <w:rFonts w:ascii="Times New Roman" w:hAnsi="Times New Roman" w:cs="Times New Roman"/>
          <w:sz w:val="24"/>
          <w:szCs w:val="24"/>
        </w:rPr>
        <w:t>(3), 242–253. https://doi.org/10.3109/07853890.2012.705015</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17. </w:t>
      </w:r>
      <w:r w:rsidR="00CB2BBE" w:rsidRPr="00C10683">
        <w:rPr>
          <w:rFonts w:ascii="Times New Roman" w:hAnsi="Times New Roman" w:cs="Times New Roman"/>
          <w:sz w:val="24"/>
          <w:szCs w:val="24"/>
        </w:rPr>
        <w:t xml:space="preserve">Dash, G. K., Patro, Ch. P., &amp; Maiti, A. K. (2005). </w:t>
      </w:r>
      <w:r w:rsidR="00CB2BBE" w:rsidRPr="00C10683">
        <w:rPr>
          <w:rFonts w:ascii="Times New Roman" w:hAnsi="Times New Roman" w:cs="Times New Roman"/>
          <w:i/>
          <w:iCs/>
          <w:sz w:val="24"/>
          <w:szCs w:val="24"/>
        </w:rPr>
        <w:t>A study on the anti-hyperglycaemic effect of Premna corymbosa Rottl. Roots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Vol 5/1</w:t>
      </w:r>
      <w:r w:rsidR="00CB2BBE" w:rsidRPr="00C10683">
        <w:rPr>
          <w:rFonts w:ascii="Times New Roman" w:hAnsi="Times New Roman" w:cs="Times New Roman"/>
          <w:sz w:val="24"/>
          <w:szCs w:val="24"/>
        </w:rPr>
        <w:t>.</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18. </w:t>
      </w:r>
      <w:r w:rsidR="00CB2BBE" w:rsidRPr="00C10683">
        <w:rPr>
          <w:rFonts w:ascii="Times New Roman" w:hAnsi="Times New Roman" w:cs="Times New Roman"/>
          <w:sz w:val="24"/>
          <w:szCs w:val="24"/>
        </w:rPr>
        <w:t xml:space="preserve">Djoumbou Feunang, Y., Eisner, R., Knox, C., Chepelev, L., Hastings, J., Owen, G., Fahy, E., Steinbeck, C., Subramanian, S., Bolton, E., Greiner, R., &amp; Wishart, D. S. (2016). ClassyFire: Automated chemical classification with a comprehensive, computable taxonomy. </w:t>
      </w:r>
      <w:r w:rsidR="00CB2BBE" w:rsidRPr="00C10683">
        <w:rPr>
          <w:rFonts w:ascii="Times New Roman" w:hAnsi="Times New Roman" w:cs="Times New Roman"/>
          <w:i/>
          <w:iCs/>
          <w:sz w:val="24"/>
          <w:szCs w:val="24"/>
        </w:rPr>
        <w:t>Journal of Cheminformatics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8</w:t>
      </w:r>
      <w:r w:rsidR="00CB2BBE" w:rsidRPr="00C10683">
        <w:rPr>
          <w:rFonts w:ascii="Times New Roman" w:hAnsi="Times New Roman" w:cs="Times New Roman"/>
          <w:sz w:val="24"/>
          <w:szCs w:val="24"/>
        </w:rPr>
        <w:t>(1), 61. https://doi.org/10.1186/s13321-016-0174-y</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19. </w:t>
      </w:r>
      <w:r w:rsidR="00CB2BBE" w:rsidRPr="00C10683">
        <w:rPr>
          <w:rFonts w:ascii="Times New Roman" w:hAnsi="Times New Roman" w:cs="Times New Roman"/>
          <w:sz w:val="24"/>
          <w:szCs w:val="24"/>
        </w:rPr>
        <w:t xml:space="preserve">Elias, I., Franckhauser, S., &amp; Bosch, F. (2013). New insights into adipose tissue VEGF-A actions in the control of obesity and insulin resistance. </w:t>
      </w:r>
      <w:r w:rsidR="00CB2BBE" w:rsidRPr="00C10683">
        <w:rPr>
          <w:rFonts w:ascii="Times New Roman" w:hAnsi="Times New Roman" w:cs="Times New Roman"/>
          <w:i/>
          <w:iCs/>
          <w:sz w:val="24"/>
          <w:szCs w:val="24"/>
        </w:rPr>
        <w:t>Adipocyte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w:t>
      </w:r>
      <w:r w:rsidR="00CB2BBE" w:rsidRPr="00C10683">
        <w:rPr>
          <w:rFonts w:ascii="Times New Roman" w:hAnsi="Times New Roman" w:cs="Times New Roman"/>
          <w:sz w:val="24"/>
          <w:szCs w:val="24"/>
        </w:rPr>
        <w:t>(2), 109–112. https://doi.org/10.4161/adip.22880</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20. </w:t>
      </w:r>
      <w:r w:rsidR="00CB2BBE" w:rsidRPr="00C10683">
        <w:rPr>
          <w:rFonts w:ascii="Times New Roman" w:hAnsi="Times New Roman" w:cs="Times New Roman"/>
          <w:sz w:val="24"/>
          <w:szCs w:val="24"/>
        </w:rPr>
        <w:t xml:space="preserve">Fatoumata, Ba., MamadouSaïdou, Bah., Mohamet, S., Joseph, K. S., Modou, M. G., &amp; El, H. B. (2020). Antidiabetic properties of Moringa oleifera: A review of the literature. </w:t>
      </w:r>
      <w:r w:rsidR="00CB2BBE" w:rsidRPr="00C10683">
        <w:rPr>
          <w:rFonts w:ascii="Times New Roman" w:hAnsi="Times New Roman" w:cs="Times New Roman"/>
          <w:i/>
          <w:iCs/>
          <w:sz w:val="24"/>
          <w:szCs w:val="24"/>
        </w:rPr>
        <w:t>Journal of Diabetes and Endocrinology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11</w:t>
      </w:r>
      <w:r w:rsidR="00CB2BBE" w:rsidRPr="00C10683">
        <w:rPr>
          <w:rFonts w:ascii="Times New Roman" w:hAnsi="Times New Roman" w:cs="Times New Roman"/>
          <w:sz w:val="24"/>
          <w:szCs w:val="24"/>
        </w:rPr>
        <w:t>(1), 18–29. https://doi.org/10.5897/JDE2019.0136</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21. </w:t>
      </w:r>
      <w:r w:rsidR="00CB2BBE" w:rsidRPr="00C10683">
        <w:rPr>
          <w:rFonts w:ascii="Times New Roman" w:hAnsi="Times New Roman" w:cs="Times New Roman"/>
          <w:sz w:val="24"/>
          <w:szCs w:val="24"/>
        </w:rPr>
        <w:t xml:space="preserve">Feingold, K. R., Memon, R. A., Moser, A. H., &amp; Grunfeld, C. (1998). Paraoxonase activity in the serum and hepatic mRNA levels decrease during the acute phase response. </w:t>
      </w:r>
      <w:r w:rsidR="00CB2BBE" w:rsidRPr="00C10683">
        <w:rPr>
          <w:rFonts w:ascii="Times New Roman" w:hAnsi="Times New Roman" w:cs="Times New Roman"/>
          <w:i/>
          <w:iCs/>
          <w:sz w:val="24"/>
          <w:szCs w:val="24"/>
        </w:rPr>
        <w:t>Atherosclerosis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139</w:t>
      </w:r>
      <w:r w:rsidR="00CB2BBE" w:rsidRPr="00C10683">
        <w:rPr>
          <w:rFonts w:ascii="Times New Roman" w:hAnsi="Times New Roman" w:cs="Times New Roman"/>
          <w:sz w:val="24"/>
          <w:szCs w:val="24"/>
        </w:rPr>
        <w:t>(2), 307–315. https://doi.org/10.1016/S0021-9150(98)00084-7</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22. </w:t>
      </w:r>
      <w:r w:rsidR="00CB2BBE" w:rsidRPr="00C10683">
        <w:rPr>
          <w:rFonts w:ascii="Times New Roman" w:hAnsi="Times New Roman" w:cs="Times New Roman"/>
          <w:sz w:val="24"/>
          <w:szCs w:val="24"/>
        </w:rPr>
        <w:t xml:space="preserve">Filippello, A., Di Mauro, S., Scamporrino, A., Torrisi, S. A., Leggio, G. M., Di Pino, A., Scicali, R., Di Marco, M., Malaguarnera, R., Purrello, F., &amp; Piro, S. (2022). Molecular Effects of Chronic Exposure to Palmitate in Intestinal Organoids: A New Model to Study Obesity and Diabetes. </w:t>
      </w:r>
      <w:r w:rsidR="00CB2BBE" w:rsidRPr="00C10683">
        <w:rPr>
          <w:rFonts w:ascii="Times New Roman" w:hAnsi="Times New Roman" w:cs="Times New Roman"/>
          <w:i/>
          <w:iCs/>
          <w:sz w:val="24"/>
          <w:szCs w:val="24"/>
        </w:rPr>
        <w:t>International Journal of Molecular Sciences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23</w:t>
      </w:r>
      <w:r w:rsidR="00CB2BBE" w:rsidRPr="00C10683">
        <w:rPr>
          <w:rFonts w:ascii="Times New Roman" w:hAnsi="Times New Roman" w:cs="Times New Roman"/>
          <w:sz w:val="24"/>
          <w:szCs w:val="24"/>
        </w:rPr>
        <w:t>(14), 7751. https://doi.org/10.3390/ijms23147751</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23. </w:t>
      </w:r>
      <w:r w:rsidR="00CB2BBE" w:rsidRPr="00C10683">
        <w:rPr>
          <w:rFonts w:ascii="Times New Roman" w:hAnsi="Times New Roman" w:cs="Times New Roman"/>
          <w:sz w:val="24"/>
          <w:szCs w:val="24"/>
        </w:rPr>
        <w:t xml:space="preserve">Franko, A., Berti, L., Hennenlotter, J., Rausch, S., Scharpf, M. O., De Angelis, M. H., Stenzl, A., Birkenfeld, A. L., Peter, A., Lutz, S. Z., Häring, H.-U., &amp; Heni, M. (2020). Transcript Levels of Aldo-Keto </w:t>
      </w:r>
      <w:r w:rsidRPr="00C10683">
        <w:rPr>
          <w:rFonts w:ascii="Times New Roman" w:hAnsi="Times New Roman" w:cs="Times New Roman"/>
          <w:b/>
          <w:sz w:val="24"/>
          <w:szCs w:val="24"/>
        </w:rPr>
        <w:t xml:space="preserve">24. </w:t>
      </w:r>
      <w:r w:rsidR="00CB2BBE" w:rsidRPr="00C10683">
        <w:rPr>
          <w:rFonts w:ascii="Times New Roman" w:hAnsi="Times New Roman" w:cs="Times New Roman"/>
          <w:sz w:val="24"/>
          <w:szCs w:val="24"/>
        </w:rPr>
        <w:t xml:space="preserve">Reductase Family 1 Subfamily C (AKR1C) Are Increased in Prostate Tissue of Patients with Type 2 Diabetes. </w:t>
      </w:r>
      <w:r w:rsidR="00CB2BBE" w:rsidRPr="00C10683">
        <w:rPr>
          <w:rFonts w:ascii="Times New Roman" w:hAnsi="Times New Roman" w:cs="Times New Roman"/>
          <w:i/>
          <w:iCs/>
          <w:sz w:val="24"/>
          <w:szCs w:val="24"/>
        </w:rPr>
        <w:t>Journal of Personalized Medicine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10</w:t>
      </w:r>
      <w:r w:rsidR="00CB2BBE" w:rsidRPr="00C10683">
        <w:rPr>
          <w:rFonts w:ascii="Times New Roman" w:hAnsi="Times New Roman" w:cs="Times New Roman"/>
          <w:sz w:val="24"/>
          <w:szCs w:val="24"/>
        </w:rPr>
        <w:t>(3), 124. https://doi.org/10.3390/jpm10030124</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25. </w:t>
      </w:r>
      <w:r w:rsidR="00CB2BBE" w:rsidRPr="00C10683">
        <w:rPr>
          <w:rFonts w:ascii="Times New Roman" w:hAnsi="Times New Roman" w:cs="Times New Roman"/>
          <w:sz w:val="24"/>
          <w:szCs w:val="24"/>
        </w:rPr>
        <w:t xml:space="preserve">Gajewska, B., &amp; Śliwińska-Mossoń, M. (2022). Association of MMP-2 and MMP-9 Polymorphisms with Diabetes and Pathogenesis of Diabetic Complications. </w:t>
      </w:r>
      <w:r w:rsidR="00CB2BBE" w:rsidRPr="00C10683">
        <w:rPr>
          <w:rFonts w:ascii="Times New Roman" w:hAnsi="Times New Roman" w:cs="Times New Roman"/>
          <w:i/>
          <w:iCs/>
          <w:sz w:val="24"/>
          <w:szCs w:val="24"/>
        </w:rPr>
        <w:t>International Journal of Molecular Sciences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23</w:t>
      </w:r>
      <w:r w:rsidR="00CB2BBE" w:rsidRPr="00C10683">
        <w:rPr>
          <w:rFonts w:ascii="Times New Roman" w:hAnsi="Times New Roman" w:cs="Times New Roman"/>
          <w:sz w:val="24"/>
          <w:szCs w:val="24"/>
        </w:rPr>
        <w:t>(18), 10571. https://doi.org/10.3390/ijms231810571</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26. </w:t>
      </w:r>
      <w:r w:rsidR="00CB2BBE" w:rsidRPr="00C10683">
        <w:rPr>
          <w:rFonts w:ascii="Times New Roman" w:hAnsi="Times New Roman" w:cs="Times New Roman"/>
          <w:sz w:val="24"/>
          <w:szCs w:val="24"/>
        </w:rPr>
        <w:t xml:space="preserve">Ganesan, K., &amp; Xu, B. (2017). A Critical Review on Polyphenols and Health Benefits of Black Soybeans. </w:t>
      </w:r>
      <w:r w:rsidR="00CB2BBE" w:rsidRPr="00C10683">
        <w:rPr>
          <w:rFonts w:ascii="Times New Roman" w:hAnsi="Times New Roman" w:cs="Times New Roman"/>
          <w:i/>
          <w:iCs/>
          <w:sz w:val="24"/>
          <w:szCs w:val="24"/>
        </w:rPr>
        <w:t>Nutrients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9</w:t>
      </w:r>
      <w:r w:rsidR="00CB2BBE" w:rsidRPr="00C10683">
        <w:rPr>
          <w:rFonts w:ascii="Times New Roman" w:hAnsi="Times New Roman" w:cs="Times New Roman"/>
          <w:sz w:val="24"/>
          <w:szCs w:val="24"/>
        </w:rPr>
        <w:t>(5), 455. https://doi.org/10.3390/nu9050455</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lastRenderedPageBreak/>
        <w:t>27. 2</w:t>
      </w:r>
      <w:r w:rsidR="00CB2BBE" w:rsidRPr="00C10683">
        <w:rPr>
          <w:rFonts w:ascii="Times New Roman" w:hAnsi="Times New Roman" w:cs="Times New Roman"/>
          <w:sz w:val="24"/>
          <w:szCs w:val="24"/>
        </w:rPr>
        <w:t xml:space="preserve">Ganie, S. A., &amp; Yadav, S. S. (2014). </w:t>
      </w:r>
      <w:r w:rsidR="00CB2BBE" w:rsidRPr="00C10683">
        <w:rPr>
          <w:rFonts w:ascii="Times New Roman" w:hAnsi="Times New Roman" w:cs="Times New Roman"/>
          <w:i/>
          <w:iCs/>
          <w:sz w:val="24"/>
          <w:szCs w:val="24"/>
        </w:rPr>
        <w:t>Holoptelea integrifolia</w:t>
      </w:r>
      <w:r w:rsidR="00CB2BBE" w:rsidRPr="00C10683">
        <w:rPr>
          <w:rFonts w:ascii="Times New Roman" w:hAnsi="Times New Roman" w:cs="Times New Roman"/>
          <w:sz w:val="24"/>
          <w:szCs w:val="24"/>
        </w:rPr>
        <w:t xml:space="preserve"> (Roxb.) Planch: A Review of Its Ethnobotany, Pharmacology, and Phytochemistry. </w:t>
      </w:r>
      <w:r w:rsidR="00CB2BBE" w:rsidRPr="00C10683">
        <w:rPr>
          <w:rFonts w:ascii="Times New Roman" w:hAnsi="Times New Roman" w:cs="Times New Roman"/>
          <w:i/>
          <w:iCs/>
          <w:sz w:val="24"/>
          <w:szCs w:val="24"/>
        </w:rPr>
        <w:t>BioMed Research International</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2014</w:t>
      </w:r>
      <w:r w:rsidR="00CB2BBE" w:rsidRPr="00C10683">
        <w:rPr>
          <w:rFonts w:ascii="Times New Roman" w:hAnsi="Times New Roman" w:cs="Times New Roman"/>
          <w:sz w:val="24"/>
          <w:szCs w:val="24"/>
        </w:rPr>
        <w:t>, 1–12. https://doi.org/10.1155/2014/401213</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28. </w:t>
      </w:r>
      <w:r w:rsidR="00CB2BBE" w:rsidRPr="00C10683">
        <w:rPr>
          <w:rFonts w:ascii="Times New Roman" w:hAnsi="Times New Roman" w:cs="Times New Roman"/>
          <w:sz w:val="24"/>
          <w:szCs w:val="24"/>
        </w:rPr>
        <w:t xml:space="preserve">Gao, D., Nong, S., Huang, X., Lu, Y., Zhao, H., Lin, Y., Man, Y., Wang, S., Yang, J., &amp; Li, J. (2010). The Effects of Palmitate on Hepatic Insulin Resistance Are Mediated by NADPH Oxidase 3-derived Reactive Oxygen Species through JNK and p38MAPK Pathways. </w:t>
      </w:r>
      <w:r w:rsidR="00CB2BBE" w:rsidRPr="00C10683">
        <w:rPr>
          <w:rFonts w:ascii="Times New Roman" w:hAnsi="Times New Roman" w:cs="Times New Roman"/>
          <w:i/>
          <w:iCs/>
          <w:sz w:val="24"/>
          <w:szCs w:val="24"/>
        </w:rPr>
        <w:t>Journal of Biological Chemistry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285</w:t>
      </w:r>
      <w:r w:rsidR="00CB2BBE" w:rsidRPr="00C10683">
        <w:rPr>
          <w:rFonts w:ascii="Times New Roman" w:hAnsi="Times New Roman" w:cs="Times New Roman"/>
          <w:sz w:val="24"/>
          <w:szCs w:val="24"/>
        </w:rPr>
        <w:t>(39), 29965–29973. https://doi.org/10.1074/jbc.M110.128694</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29. </w:t>
      </w:r>
      <w:r w:rsidR="00CB2BBE" w:rsidRPr="00C10683">
        <w:rPr>
          <w:rFonts w:ascii="Times New Roman" w:hAnsi="Times New Roman" w:cs="Times New Roman"/>
          <w:sz w:val="24"/>
          <w:szCs w:val="24"/>
        </w:rPr>
        <w:t xml:space="preserve">Giacco, F., &amp; Brownlee, M. (2010). Oxidative Stress and Diabetic Complications. </w:t>
      </w:r>
      <w:r w:rsidR="00CB2BBE" w:rsidRPr="00C10683">
        <w:rPr>
          <w:rFonts w:ascii="Times New Roman" w:hAnsi="Times New Roman" w:cs="Times New Roman"/>
          <w:i/>
          <w:iCs/>
          <w:sz w:val="24"/>
          <w:szCs w:val="24"/>
        </w:rPr>
        <w:t>Circulation Research</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107</w:t>
      </w:r>
      <w:r w:rsidR="00CB2BBE" w:rsidRPr="00C10683">
        <w:rPr>
          <w:rFonts w:ascii="Times New Roman" w:hAnsi="Times New Roman" w:cs="Times New Roman"/>
          <w:sz w:val="24"/>
          <w:szCs w:val="24"/>
        </w:rPr>
        <w:t>(9), 1058–1070. https://doi.org/10.1161/CIRCRESAHA.110.223545</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30. </w:t>
      </w:r>
      <w:r w:rsidR="00CB2BBE" w:rsidRPr="00C10683">
        <w:rPr>
          <w:rFonts w:ascii="Times New Roman" w:hAnsi="Times New Roman" w:cs="Times New Roman"/>
          <w:sz w:val="24"/>
          <w:szCs w:val="24"/>
        </w:rPr>
        <w:t xml:space="preserve">Glenske, K., Schäpe, K., Wieck, A., Failing, K., Werner, J., Rohnke, M., Wenisch, S., &amp; Mazurek, S. (2020). Effect of long term palmitate treatment on osteogenic differentiation of human mesenchymal stromal cells—Impact of albumin. </w:t>
      </w:r>
      <w:r w:rsidR="00CB2BBE" w:rsidRPr="00C10683">
        <w:rPr>
          <w:rFonts w:ascii="Times New Roman" w:hAnsi="Times New Roman" w:cs="Times New Roman"/>
          <w:i/>
          <w:iCs/>
          <w:sz w:val="24"/>
          <w:szCs w:val="24"/>
        </w:rPr>
        <w:t>Bone Reports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13</w:t>
      </w:r>
      <w:r w:rsidR="00CB2BBE" w:rsidRPr="00C10683">
        <w:rPr>
          <w:rFonts w:ascii="Times New Roman" w:hAnsi="Times New Roman" w:cs="Times New Roman"/>
          <w:sz w:val="24"/>
          <w:szCs w:val="24"/>
        </w:rPr>
        <w:t>, 100707. https://doi.org/10.1016/j.bonr.2020.100707</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31. </w:t>
      </w:r>
      <w:r w:rsidR="00CB2BBE" w:rsidRPr="00C10683">
        <w:rPr>
          <w:rFonts w:ascii="Times New Roman" w:hAnsi="Times New Roman" w:cs="Times New Roman"/>
          <w:sz w:val="24"/>
          <w:szCs w:val="24"/>
        </w:rPr>
        <w:t xml:space="preserve">Graciano, M. F., Valle, M., Kowluru, A., Curi, R., &amp; Carpinelli, A. (2011). Regulation of insulin secretion and reactive oxygen species production by free fatty acids in pancreatic islets. </w:t>
      </w:r>
      <w:r w:rsidR="00CB2BBE" w:rsidRPr="00C10683">
        <w:rPr>
          <w:rFonts w:ascii="Times New Roman" w:hAnsi="Times New Roman" w:cs="Times New Roman"/>
          <w:i/>
          <w:iCs/>
          <w:sz w:val="24"/>
          <w:szCs w:val="24"/>
        </w:rPr>
        <w:t>Islets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w:t>
      </w:r>
      <w:r w:rsidR="00CB2BBE" w:rsidRPr="00C10683">
        <w:rPr>
          <w:rFonts w:ascii="Times New Roman" w:hAnsi="Times New Roman" w:cs="Times New Roman"/>
          <w:sz w:val="24"/>
          <w:szCs w:val="24"/>
        </w:rPr>
        <w:t>(5), 213–223. https://doi.org/10.4161/isl.3.5.15935</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32. </w:t>
      </w:r>
      <w:r w:rsidR="00CB2BBE" w:rsidRPr="00C10683">
        <w:rPr>
          <w:rFonts w:ascii="Times New Roman" w:hAnsi="Times New Roman" w:cs="Times New Roman"/>
          <w:sz w:val="24"/>
          <w:szCs w:val="24"/>
        </w:rPr>
        <w:t xml:space="preserve">Han, Z., Qi, G., Zhu, J., Zhang, Y., Xu, Y., Yan, K., Zhu, C., &amp; Hao, X. (2020). Novel 3,4-dihydroquinolin-2(1H)-one derivatives as dual inhibitor targeting AKR1B1/ROS for treatment of diabetic complications: Design, synthesis and biological evaluation. </w:t>
      </w:r>
      <w:r w:rsidR="00CB2BBE" w:rsidRPr="00C10683">
        <w:rPr>
          <w:rFonts w:ascii="Times New Roman" w:hAnsi="Times New Roman" w:cs="Times New Roman"/>
          <w:i/>
          <w:iCs/>
          <w:sz w:val="24"/>
          <w:szCs w:val="24"/>
        </w:rPr>
        <w:t>Bioorganic Chemistry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105</w:t>
      </w:r>
      <w:r w:rsidR="00CB2BBE" w:rsidRPr="00C10683">
        <w:rPr>
          <w:rFonts w:ascii="Times New Roman" w:hAnsi="Times New Roman" w:cs="Times New Roman"/>
          <w:sz w:val="24"/>
          <w:szCs w:val="24"/>
        </w:rPr>
        <w:t>, 104428. https://doi.org/10.1016/j.bioorg.2020.104428</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33. </w:t>
      </w:r>
      <w:r w:rsidR="00CB2BBE" w:rsidRPr="00C10683">
        <w:rPr>
          <w:rFonts w:ascii="Times New Roman" w:hAnsi="Times New Roman" w:cs="Times New Roman"/>
          <w:sz w:val="24"/>
          <w:szCs w:val="24"/>
        </w:rPr>
        <w:t xml:space="preserve">Hannan, J. M. A., Ali, L., Khaleque, J., Akhter, M., Flatt, P. R., &amp; Abdel-Wahab, Y. H. A. (2012). Antihyperglycaemic activity of </w:t>
      </w:r>
      <w:r w:rsidR="00CB2BBE" w:rsidRPr="00C10683">
        <w:rPr>
          <w:rFonts w:ascii="Times New Roman" w:hAnsi="Times New Roman" w:cs="Times New Roman"/>
          <w:i/>
          <w:iCs/>
          <w:sz w:val="24"/>
          <w:szCs w:val="24"/>
        </w:rPr>
        <w:t>Asparagus racemosus</w:t>
      </w:r>
      <w:r w:rsidR="00CB2BBE" w:rsidRPr="00C10683">
        <w:rPr>
          <w:rFonts w:ascii="Times New Roman" w:hAnsi="Times New Roman" w:cs="Times New Roman"/>
          <w:sz w:val="24"/>
          <w:szCs w:val="24"/>
        </w:rPr>
        <w:t xml:space="preserve"> roots is partly mediated by inhibition of carbohydrate digestion and absorption, and enhancement of cellular insulin action. </w:t>
      </w:r>
      <w:r w:rsidR="00CB2BBE" w:rsidRPr="00C10683">
        <w:rPr>
          <w:rFonts w:ascii="Times New Roman" w:hAnsi="Times New Roman" w:cs="Times New Roman"/>
          <w:i/>
          <w:iCs/>
          <w:sz w:val="24"/>
          <w:szCs w:val="24"/>
        </w:rPr>
        <w:t>British Journal of Nutrition</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107</w:t>
      </w:r>
      <w:r w:rsidR="00CB2BBE" w:rsidRPr="00C10683">
        <w:rPr>
          <w:rFonts w:ascii="Times New Roman" w:hAnsi="Times New Roman" w:cs="Times New Roman"/>
          <w:sz w:val="24"/>
          <w:szCs w:val="24"/>
        </w:rPr>
        <w:t>(9), 1316–1323. https://doi.org/10.1017/S0007114511004284</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34. </w:t>
      </w:r>
      <w:r w:rsidR="00CB2BBE" w:rsidRPr="00C10683">
        <w:rPr>
          <w:rFonts w:ascii="Times New Roman" w:hAnsi="Times New Roman" w:cs="Times New Roman"/>
          <w:sz w:val="24"/>
          <w:szCs w:val="24"/>
        </w:rPr>
        <w:t xml:space="preserve">Hu, F. B., Manson, J. E., Stampfer, M. J., Colditz, G., Liu, S., Solomon, C. G., &amp; Willett, W. C. (2001). Diet, Lifestyle, and the Risk of Type 2 Diabetes Mellitus in Women. </w:t>
      </w:r>
      <w:r w:rsidR="00CB2BBE" w:rsidRPr="00C10683">
        <w:rPr>
          <w:rFonts w:ascii="Times New Roman" w:hAnsi="Times New Roman" w:cs="Times New Roman"/>
          <w:i/>
          <w:iCs/>
          <w:sz w:val="24"/>
          <w:szCs w:val="24"/>
        </w:rPr>
        <w:t>New England Journal of Medicine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345</w:t>
      </w:r>
      <w:r w:rsidR="00CB2BBE" w:rsidRPr="00C10683">
        <w:rPr>
          <w:rFonts w:ascii="Times New Roman" w:hAnsi="Times New Roman" w:cs="Times New Roman"/>
          <w:sz w:val="24"/>
          <w:szCs w:val="24"/>
        </w:rPr>
        <w:t>(11), 790–797. https://doi.org/10.1056/NEJMoa010492</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35. </w:t>
      </w:r>
      <w:r w:rsidR="00CB2BBE" w:rsidRPr="00C10683">
        <w:rPr>
          <w:rFonts w:ascii="Times New Roman" w:hAnsi="Times New Roman" w:cs="Times New Roman"/>
          <w:sz w:val="24"/>
          <w:szCs w:val="24"/>
        </w:rPr>
        <w:t xml:space="preserve">Huang, E. S., Brown, S. E. S., Ewigman, B. G., Foley, E. C., &amp; Meltzer, D. O. (2007). Patient Perceptions of Quality of Life With Diabetes-Related Complications and Treatments. </w:t>
      </w:r>
      <w:r w:rsidR="00CB2BBE" w:rsidRPr="00C10683">
        <w:rPr>
          <w:rFonts w:ascii="Times New Roman" w:hAnsi="Times New Roman" w:cs="Times New Roman"/>
          <w:i/>
          <w:iCs/>
          <w:sz w:val="24"/>
          <w:szCs w:val="24"/>
        </w:rPr>
        <w:t>Diabetes Care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30</w:t>
      </w:r>
      <w:r w:rsidR="00CB2BBE" w:rsidRPr="00C10683">
        <w:rPr>
          <w:rFonts w:ascii="Times New Roman" w:hAnsi="Times New Roman" w:cs="Times New Roman"/>
          <w:sz w:val="24"/>
          <w:szCs w:val="24"/>
        </w:rPr>
        <w:t>(10), 2478–2483. https://doi.org/10.2337/dc07-0499</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36. </w:t>
      </w:r>
      <w:r w:rsidR="00CB2BBE" w:rsidRPr="00C10683">
        <w:rPr>
          <w:rFonts w:ascii="Times New Roman" w:hAnsi="Times New Roman" w:cs="Times New Roman"/>
          <w:sz w:val="24"/>
          <w:szCs w:val="24"/>
        </w:rPr>
        <w:t xml:space="preserve">Hummasti, S., &amp; Hotamisligil, G. S. (2010). Endoplasmic Reticulum Stress and Inflammation in Obesity and Diabetes. </w:t>
      </w:r>
      <w:r w:rsidR="00CB2BBE" w:rsidRPr="00C10683">
        <w:rPr>
          <w:rFonts w:ascii="Times New Roman" w:hAnsi="Times New Roman" w:cs="Times New Roman"/>
          <w:i/>
          <w:iCs/>
          <w:sz w:val="24"/>
          <w:szCs w:val="24"/>
        </w:rPr>
        <w:t>Circulation Research</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107</w:t>
      </w:r>
      <w:r w:rsidR="00CB2BBE" w:rsidRPr="00C10683">
        <w:rPr>
          <w:rFonts w:ascii="Times New Roman" w:hAnsi="Times New Roman" w:cs="Times New Roman"/>
          <w:sz w:val="24"/>
          <w:szCs w:val="24"/>
        </w:rPr>
        <w:t>(5), 579–591. https://doi.org/10.1161/CIRCRESAHA.110.225698</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37. </w:t>
      </w:r>
      <w:r w:rsidR="00CB2BBE" w:rsidRPr="00C10683">
        <w:rPr>
          <w:rFonts w:ascii="Times New Roman" w:hAnsi="Times New Roman" w:cs="Times New Roman"/>
          <w:sz w:val="24"/>
          <w:szCs w:val="24"/>
        </w:rPr>
        <w:t xml:space="preserve">Im, R., Mano, H., Matsuura, T., Nakatani, S., Shimizu, J., &amp; Wada, M. (2009). Mechanisms of blood glucose-lowering effect of aqueous extract from stems of Kothala himbutu (Salacia reticulata) in the mouse. </w:t>
      </w:r>
      <w:r w:rsidR="00CB2BBE" w:rsidRPr="00C10683">
        <w:rPr>
          <w:rFonts w:ascii="Times New Roman" w:hAnsi="Times New Roman" w:cs="Times New Roman"/>
          <w:i/>
          <w:iCs/>
          <w:sz w:val="24"/>
          <w:szCs w:val="24"/>
        </w:rPr>
        <w:t>Journal of Ethnopharmacology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121</w:t>
      </w:r>
      <w:r w:rsidR="00CB2BBE" w:rsidRPr="00C10683">
        <w:rPr>
          <w:rFonts w:ascii="Times New Roman" w:hAnsi="Times New Roman" w:cs="Times New Roman"/>
          <w:sz w:val="24"/>
          <w:szCs w:val="24"/>
        </w:rPr>
        <w:t>(2), 234–240. https://doi.org/10.1016/j.jep.2008.10.026</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38. </w:t>
      </w:r>
      <w:r w:rsidR="00CB2BBE" w:rsidRPr="00C10683">
        <w:rPr>
          <w:rFonts w:ascii="Times New Roman" w:hAnsi="Times New Roman" w:cs="Times New Roman"/>
          <w:sz w:val="24"/>
          <w:szCs w:val="24"/>
        </w:rPr>
        <w:t xml:space="preserve">Johar Iquba, Dr. R. T., &amp; Murlidhar Joglekar, Dr. P. (2020). PARANTHI (IXORA COCCINEA) A REVIEW. </w:t>
      </w:r>
      <w:r w:rsidR="00CB2BBE" w:rsidRPr="00C10683">
        <w:rPr>
          <w:rFonts w:ascii="Times New Roman" w:hAnsi="Times New Roman" w:cs="Times New Roman"/>
          <w:i/>
          <w:iCs/>
          <w:sz w:val="24"/>
          <w:szCs w:val="24"/>
        </w:rPr>
        <w:t>World Journal of Pharmacy and Pharmaceutical Sciences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Vol 9, Issue 3, 2020</w:t>
      </w:r>
      <w:r w:rsidR="00CB2BBE" w:rsidRPr="00C10683">
        <w:rPr>
          <w:rFonts w:ascii="Times New Roman" w:hAnsi="Times New Roman" w:cs="Times New Roman"/>
          <w:sz w:val="24"/>
          <w:szCs w:val="24"/>
        </w:rPr>
        <w:t>. https://doi.org/10.20959/wjpps20203-</w:t>
      </w:r>
      <w:r w:rsidR="00CB2BBE" w:rsidRPr="00C10683">
        <w:rPr>
          <w:rFonts w:ascii="Times New Roman" w:hAnsi="Times New Roman" w:cs="Times New Roman"/>
          <w:b/>
          <w:sz w:val="24"/>
          <w:szCs w:val="24"/>
        </w:rPr>
        <w:t>Kim</w:t>
      </w:r>
      <w:r w:rsidR="00CB2BBE" w:rsidRPr="00C10683">
        <w:rPr>
          <w:rFonts w:ascii="Times New Roman" w:hAnsi="Times New Roman" w:cs="Times New Roman"/>
          <w:sz w:val="24"/>
          <w:szCs w:val="24"/>
        </w:rPr>
        <w:t xml:space="preserve">, J. J., &amp; Sears, D. D. (2010). TLR4 </w:t>
      </w:r>
      <w:r w:rsidR="00CB2BBE" w:rsidRPr="00C10683">
        <w:rPr>
          <w:rFonts w:ascii="Times New Roman" w:hAnsi="Times New Roman" w:cs="Times New Roman"/>
          <w:sz w:val="24"/>
          <w:szCs w:val="24"/>
        </w:rPr>
        <w:lastRenderedPageBreak/>
        <w:t xml:space="preserve">and Insulin Resistance. </w:t>
      </w:r>
      <w:r w:rsidR="00CB2BBE" w:rsidRPr="00C10683">
        <w:rPr>
          <w:rFonts w:ascii="Times New Roman" w:hAnsi="Times New Roman" w:cs="Times New Roman"/>
          <w:i/>
          <w:iCs/>
          <w:sz w:val="24"/>
          <w:szCs w:val="24"/>
        </w:rPr>
        <w:t>Gastroenterology Research and Practice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2010</w:t>
      </w:r>
      <w:r w:rsidR="00CB2BBE" w:rsidRPr="00C10683">
        <w:rPr>
          <w:rFonts w:ascii="Times New Roman" w:hAnsi="Times New Roman" w:cs="Times New Roman"/>
          <w:sz w:val="24"/>
          <w:szCs w:val="24"/>
        </w:rPr>
        <w:t>, 1–11. https://doi.org/10.1155/2010/212563</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39. </w:t>
      </w:r>
      <w:r w:rsidR="00CB2BBE" w:rsidRPr="00C10683">
        <w:rPr>
          <w:rFonts w:ascii="Times New Roman" w:hAnsi="Times New Roman" w:cs="Times New Roman"/>
          <w:sz w:val="24"/>
          <w:szCs w:val="24"/>
        </w:rPr>
        <w:t xml:space="preserve">Koren-Gluzer, M., Aviram, M., &amp; Hayek, T. (2013). Paraoxonase1 (PON1) reduces insulin resistance in mice fed a high-fat diet, and promotes GLUT4 overexpression in myocytes, via the IRS-1/Akt pathway. </w:t>
      </w:r>
      <w:r w:rsidR="00CB2BBE" w:rsidRPr="00C10683">
        <w:rPr>
          <w:rFonts w:ascii="Times New Roman" w:hAnsi="Times New Roman" w:cs="Times New Roman"/>
          <w:i/>
          <w:iCs/>
          <w:sz w:val="24"/>
          <w:szCs w:val="24"/>
        </w:rPr>
        <w:t>Atherosclerosis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229</w:t>
      </w:r>
      <w:r w:rsidR="00CB2BBE" w:rsidRPr="00C10683">
        <w:rPr>
          <w:rFonts w:ascii="Times New Roman" w:hAnsi="Times New Roman" w:cs="Times New Roman"/>
          <w:sz w:val="24"/>
          <w:szCs w:val="24"/>
        </w:rPr>
        <w:t>(1), 71–78. https://doi.org/10.1016/j.atherosclerosis.2013.03.028</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40. </w:t>
      </w:r>
      <w:r w:rsidR="00CB2BBE" w:rsidRPr="00C10683">
        <w:rPr>
          <w:rFonts w:ascii="Times New Roman" w:hAnsi="Times New Roman" w:cs="Times New Roman"/>
          <w:sz w:val="24"/>
          <w:szCs w:val="24"/>
        </w:rPr>
        <w:t xml:space="preserve">Kothai, R., Arul, B., Kumar, K. S., &amp; Christina, A. J. M. (2005). Hypoglycemic and Antihyperglycemic Effect of </w:t>
      </w:r>
      <w:r w:rsidR="00CB2BBE" w:rsidRPr="00C10683">
        <w:rPr>
          <w:rFonts w:ascii="Times New Roman" w:hAnsi="Times New Roman" w:cs="Times New Roman"/>
          <w:i/>
          <w:iCs/>
          <w:sz w:val="24"/>
          <w:szCs w:val="24"/>
        </w:rPr>
        <w:t>Semecarpus anacardium</w:t>
      </w:r>
      <w:r w:rsidR="00CB2BBE" w:rsidRPr="00C10683">
        <w:rPr>
          <w:rFonts w:ascii="Times New Roman" w:hAnsi="Times New Roman" w:cs="Times New Roman"/>
          <w:sz w:val="24"/>
          <w:szCs w:val="24"/>
        </w:rPr>
        <w:t xml:space="preserve"> Linn in Normal and Alloxan-Induced Diabetic Rats. </w:t>
      </w:r>
      <w:r w:rsidR="00CB2BBE" w:rsidRPr="00C10683">
        <w:rPr>
          <w:rFonts w:ascii="Times New Roman" w:hAnsi="Times New Roman" w:cs="Times New Roman"/>
          <w:i/>
          <w:iCs/>
          <w:sz w:val="24"/>
          <w:szCs w:val="24"/>
        </w:rPr>
        <w:t>Journal of Herbal Pharmacotherapy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5</w:t>
      </w:r>
      <w:r w:rsidR="00CB2BBE" w:rsidRPr="00C10683">
        <w:rPr>
          <w:rFonts w:ascii="Times New Roman" w:hAnsi="Times New Roman" w:cs="Times New Roman"/>
          <w:sz w:val="24"/>
          <w:szCs w:val="24"/>
        </w:rPr>
        <w:t>(2), 49–56. https://doi.org/10.1080/J157v05n02_05</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41. </w:t>
      </w:r>
      <w:r w:rsidR="00CB2BBE" w:rsidRPr="00C10683">
        <w:rPr>
          <w:rFonts w:ascii="Times New Roman" w:hAnsi="Times New Roman" w:cs="Times New Roman"/>
          <w:sz w:val="24"/>
          <w:szCs w:val="24"/>
        </w:rPr>
        <w:t xml:space="preserve">krishnan, K. V., &amp; pillai, S. gopala. (n.d.). </w:t>
      </w:r>
      <w:r w:rsidR="00CB2BBE" w:rsidRPr="00C10683">
        <w:rPr>
          <w:rFonts w:ascii="Times New Roman" w:hAnsi="Times New Roman" w:cs="Times New Roman"/>
          <w:i/>
          <w:iCs/>
          <w:sz w:val="24"/>
          <w:szCs w:val="24"/>
        </w:rPr>
        <w:t>Sahasrayogam sujana priya vyakya</w:t>
      </w:r>
      <w:r w:rsidR="00CB2BBE" w:rsidRPr="00C10683">
        <w:rPr>
          <w:rFonts w:ascii="Times New Roman" w:hAnsi="Times New Roman" w:cs="Times New Roman"/>
          <w:sz w:val="24"/>
          <w:szCs w:val="24"/>
        </w:rPr>
        <w:t>.</w:t>
      </w:r>
    </w:p>
    <w:p w:rsidR="00CB2BBE" w:rsidRPr="00C10683" w:rsidRDefault="00C36252"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42. </w:t>
      </w:r>
      <w:r w:rsidR="00CB2BBE" w:rsidRPr="00C10683">
        <w:rPr>
          <w:rFonts w:ascii="Times New Roman" w:hAnsi="Times New Roman" w:cs="Times New Roman"/>
          <w:sz w:val="24"/>
          <w:szCs w:val="24"/>
        </w:rPr>
        <w:t xml:space="preserve">Lea, T. (2015). Caco-2 Cell Line. In K. Verhoeckx, P. Cotter, I. López-Expósito, C. Kleiveland, T. Lea, A. Mackie, T. Requena, D. Swiatecka, &amp; H. Wichers (Eds.), </w:t>
      </w:r>
      <w:r w:rsidR="00CB2BBE" w:rsidRPr="00C10683">
        <w:rPr>
          <w:rFonts w:ascii="Times New Roman" w:hAnsi="Times New Roman" w:cs="Times New Roman"/>
          <w:i/>
          <w:iCs/>
          <w:sz w:val="24"/>
          <w:szCs w:val="24"/>
        </w:rPr>
        <w:t>The Impact of Food Bioactives on Health</w:t>
      </w:r>
      <w:r w:rsidR="00CB2BBE" w:rsidRPr="00C10683">
        <w:rPr>
          <w:rFonts w:ascii="Times New Roman" w:hAnsi="Times New Roman" w:cs="Times New Roman"/>
          <w:sz w:val="24"/>
          <w:szCs w:val="24"/>
        </w:rPr>
        <w:t xml:space="preserve"> (pp. 103–111). Springer International Publishing. https://doi.org/10.1007/978-3-319-16104-4_10</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43. </w:t>
      </w:r>
      <w:r w:rsidR="00CB2BBE" w:rsidRPr="00C10683">
        <w:rPr>
          <w:rFonts w:ascii="Times New Roman" w:hAnsi="Times New Roman" w:cs="Times New Roman"/>
          <w:sz w:val="24"/>
          <w:szCs w:val="24"/>
        </w:rPr>
        <w:t xml:space="preserve">Lei, M., Wang, L., Olatunde, O. O., Singh, S., Ovatlarnporn, C., Basit, A., &amp; Olatunji, O. J. (2023). UPLC–ESI–QTOF–MS profiling, antioxidant, antidiabetic, antibacterial, anti-inflammatory, antiproliferative activities and in silico molecular docking analysis of Barleria strigosa. </w:t>
      </w:r>
      <w:r w:rsidR="00CB2BBE" w:rsidRPr="00C10683">
        <w:rPr>
          <w:rFonts w:ascii="Times New Roman" w:hAnsi="Times New Roman" w:cs="Times New Roman"/>
          <w:i/>
          <w:iCs/>
          <w:sz w:val="24"/>
          <w:szCs w:val="24"/>
        </w:rPr>
        <w:t>Chemical and Biological Technologies in Agriculture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10</w:t>
      </w:r>
      <w:r w:rsidR="00CB2BBE" w:rsidRPr="00C10683">
        <w:rPr>
          <w:rFonts w:ascii="Times New Roman" w:hAnsi="Times New Roman" w:cs="Times New Roman"/>
          <w:sz w:val="24"/>
          <w:szCs w:val="24"/>
        </w:rPr>
        <w:t>(1), 73. https://doi.org/10.1186/s40538-023-00451-2</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44. </w:t>
      </w:r>
      <w:r w:rsidR="00CB2BBE" w:rsidRPr="00C10683">
        <w:rPr>
          <w:rFonts w:ascii="Times New Roman" w:hAnsi="Times New Roman" w:cs="Times New Roman"/>
          <w:sz w:val="24"/>
          <w:szCs w:val="24"/>
        </w:rPr>
        <w:t xml:space="preserve">Loganayaki, N., &amp; Manian, S. (2012). Evaluation of Indian sacred tree Crataeva magna (Lour.) DC. for antioxidant activity and inhibition of key enzymes relevant to hyperglycemia. </w:t>
      </w:r>
      <w:r w:rsidR="00CB2BBE" w:rsidRPr="00C10683">
        <w:rPr>
          <w:rFonts w:ascii="Times New Roman" w:hAnsi="Times New Roman" w:cs="Times New Roman"/>
          <w:i/>
          <w:iCs/>
          <w:sz w:val="24"/>
          <w:szCs w:val="24"/>
        </w:rPr>
        <w:t>Journal of Bioscience and Bioengineering</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113</w:t>
      </w:r>
      <w:r w:rsidR="00CB2BBE" w:rsidRPr="00C10683">
        <w:rPr>
          <w:rFonts w:ascii="Times New Roman" w:hAnsi="Times New Roman" w:cs="Times New Roman"/>
          <w:sz w:val="24"/>
          <w:szCs w:val="24"/>
        </w:rPr>
        <w:t>(3), 378–380. https://doi.org/10.1016/j.jbiosc.2011.10.020</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45. </w:t>
      </w:r>
      <w:r w:rsidR="00CB2BBE" w:rsidRPr="00C10683">
        <w:rPr>
          <w:rFonts w:ascii="Times New Roman" w:hAnsi="Times New Roman" w:cs="Times New Roman"/>
          <w:sz w:val="24"/>
          <w:szCs w:val="24"/>
        </w:rPr>
        <w:t xml:space="preserve">M C Sabu, &amp; Ramadasan Kuttan. (2004). </w:t>
      </w:r>
      <w:r w:rsidR="00CB2BBE" w:rsidRPr="00C10683">
        <w:rPr>
          <w:rFonts w:ascii="Times New Roman" w:hAnsi="Times New Roman" w:cs="Times New Roman"/>
          <w:i/>
          <w:iCs/>
          <w:sz w:val="24"/>
          <w:szCs w:val="24"/>
        </w:rPr>
        <w:t>Antidiabetic activity of Aegle marmelos and its relationship with its antioxidant properties</w:t>
      </w:r>
      <w:r w:rsidR="00CB2BBE" w:rsidRPr="00C10683">
        <w:rPr>
          <w:rFonts w:ascii="Times New Roman" w:hAnsi="Times New Roman" w:cs="Times New Roman"/>
          <w:sz w:val="24"/>
          <w:szCs w:val="24"/>
        </w:rPr>
        <w:t>.</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46. </w:t>
      </w:r>
      <w:r w:rsidR="00CB2BBE" w:rsidRPr="00C10683">
        <w:rPr>
          <w:rFonts w:ascii="Times New Roman" w:hAnsi="Times New Roman" w:cs="Times New Roman"/>
          <w:sz w:val="24"/>
          <w:szCs w:val="24"/>
        </w:rPr>
        <w:t xml:space="preserve">Madsen, L., Petersen, R. K., &amp; Kristiansen, K. (2005). Regulation of adipocyte differentiation and function by polyunsaturated fatty acids. </w:t>
      </w:r>
      <w:r w:rsidR="00CB2BBE" w:rsidRPr="00C10683">
        <w:rPr>
          <w:rFonts w:ascii="Times New Roman" w:hAnsi="Times New Roman" w:cs="Times New Roman"/>
          <w:i/>
          <w:iCs/>
          <w:sz w:val="24"/>
          <w:szCs w:val="24"/>
        </w:rPr>
        <w:t>Biochimica et Biophysica Acta (BBA) - Molecular Basis of Disease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1740</w:t>
      </w:r>
      <w:r w:rsidR="00CB2BBE" w:rsidRPr="00C10683">
        <w:rPr>
          <w:rFonts w:ascii="Times New Roman" w:hAnsi="Times New Roman" w:cs="Times New Roman"/>
          <w:sz w:val="24"/>
          <w:szCs w:val="24"/>
        </w:rPr>
        <w:t>(2), 266–286. https://doi.org/10.1016/j.bbadis.2005.03.001</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47. </w:t>
      </w:r>
      <w:r w:rsidR="00CB2BBE" w:rsidRPr="00C10683">
        <w:rPr>
          <w:rFonts w:ascii="Times New Roman" w:hAnsi="Times New Roman" w:cs="Times New Roman"/>
          <w:sz w:val="24"/>
          <w:szCs w:val="24"/>
        </w:rPr>
        <w:t xml:space="preserve">Marsha J. Daniel,. (2011). </w:t>
      </w:r>
      <w:r w:rsidR="00CB2BBE" w:rsidRPr="00C10683">
        <w:rPr>
          <w:rFonts w:ascii="Times New Roman" w:hAnsi="Times New Roman" w:cs="Times New Roman"/>
          <w:i/>
          <w:iCs/>
          <w:sz w:val="24"/>
          <w:szCs w:val="24"/>
        </w:rPr>
        <w:t>Lipid Management in Patients with Type 2 Diabetes</w:t>
      </w:r>
      <w:r w:rsidR="00CB2BBE" w:rsidRPr="00C10683">
        <w:rPr>
          <w:rFonts w:ascii="Times New Roman" w:hAnsi="Times New Roman" w:cs="Times New Roman"/>
          <w:sz w:val="24"/>
          <w:szCs w:val="24"/>
        </w:rPr>
        <w:t>. page 321.</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48. </w:t>
      </w:r>
      <w:r w:rsidR="00CB2BBE" w:rsidRPr="00C10683">
        <w:rPr>
          <w:rFonts w:ascii="Times New Roman" w:hAnsi="Times New Roman" w:cs="Times New Roman"/>
          <w:sz w:val="24"/>
          <w:szCs w:val="24"/>
        </w:rPr>
        <w:t xml:space="preserve">Meena, A. K., Bansal, P., &amp; Kumar, S. (2009). </w:t>
      </w:r>
      <w:r w:rsidR="00CB2BBE" w:rsidRPr="00C10683">
        <w:rPr>
          <w:rFonts w:ascii="Times New Roman" w:hAnsi="Times New Roman" w:cs="Times New Roman"/>
          <w:i/>
          <w:iCs/>
          <w:sz w:val="24"/>
          <w:szCs w:val="24"/>
        </w:rPr>
        <w:t>Plants-herbal wealth as a potential source of ayurvedic drugs</w:t>
      </w:r>
      <w:r w:rsidR="00CB2BBE" w:rsidRPr="00C10683">
        <w:rPr>
          <w:rFonts w:ascii="Times New Roman" w:hAnsi="Times New Roman" w:cs="Times New Roman"/>
          <w:sz w:val="24"/>
          <w:szCs w:val="24"/>
        </w:rPr>
        <w:t>. http://asianjtm.syphu.edu.cn/EN/           http://asianjtm.syphu.edu.cn/EN/Y2009/V4/I4/152</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49. </w:t>
      </w:r>
      <w:r w:rsidR="00CB2BBE" w:rsidRPr="00C10683">
        <w:rPr>
          <w:rFonts w:ascii="Times New Roman" w:hAnsi="Times New Roman" w:cs="Times New Roman"/>
          <w:sz w:val="24"/>
          <w:szCs w:val="24"/>
        </w:rPr>
        <w:t xml:space="preserve">Mehndiratta, M., Almeida, E. A., Chawla, D., Madhu, S. V., Garg, S., &amp; Kar, R. (2024). Higher oxidative stress and inflammation in obese compared to lean patients with type 2 diabetes mellitus. </w:t>
      </w:r>
      <w:r w:rsidR="00CB2BBE" w:rsidRPr="00C10683">
        <w:rPr>
          <w:rFonts w:ascii="Times New Roman" w:hAnsi="Times New Roman" w:cs="Times New Roman"/>
          <w:i/>
          <w:iCs/>
          <w:sz w:val="24"/>
          <w:szCs w:val="24"/>
        </w:rPr>
        <w:t>Aspects of Molecular Medicine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w:t>
      </w:r>
      <w:r w:rsidR="00CB2BBE" w:rsidRPr="00C10683">
        <w:rPr>
          <w:rFonts w:ascii="Times New Roman" w:hAnsi="Times New Roman" w:cs="Times New Roman"/>
          <w:sz w:val="24"/>
          <w:szCs w:val="24"/>
        </w:rPr>
        <w:t>, 100042. https://doi.org/10.1016/j.amolm.2024.100042</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50. </w:t>
      </w:r>
      <w:r w:rsidR="00CB2BBE" w:rsidRPr="00C10683">
        <w:rPr>
          <w:rFonts w:ascii="Times New Roman" w:hAnsi="Times New Roman" w:cs="Times New Roman"/>
          <w:sz w:val="24"/>
          <w:szCs w:val="24"/>
        </w:rPr>
        <w:t xml:space="preserve">Mohankumar, S., &amp; McFarlane, J. R. (2011). An aqueous extract of </w:t>
      </w:r>
      <w:r w:rsidR="00CB2BBE" w:rsidRPr="00C10683">
        <w:rPr>
          <w:rFonts w:ascii="Times New Roman" w:hAnsi="Times New Roman" w:cs="Times New Roman"/>
          <w:i/>
          <w:iCs/>
          <w:sz w:val="24"/>
          <w:szCs w:val="24"/>
        </w:rPr>
        <w:t>Curcuma longa</w:t>
      </w:r>
      <w:r w:rsidR="00CB2BBE" w:rsidRPr="00C10683">
        <w:rPr>
          <w:rFonts w:ascii="Times New Roman" w:hAnsi="Times New Roman" w:cs="Times New Roman"/>
          <w:sz w:val="24"/>
          <w:szCs w:val="24"/>
        </w:rPr>
        <w:t xml:space="preserve"> (turmeric) rhizomes stimulates insulin release and mimics insulin action on tissues involved in </w:t>
      </w:r>
      <w:r w:rsidR="00CB2BBE" w:rsidRPr="00C10683">
        <w:rPr>
          <w:rFonts w:ascii="Times New Roman" w:hAnsi="Times New Roman" w:cs="Times New Roman"/>
          <w:sz w:val="24"/>
          <w:szCs w:val="24"/>
        </w:rPr>
        <w:lastRenderedPageBreak/>
        <w:t xml:space="preserve">glucose homeostasis </w:t>
      </w:r>
      <w:r w:rsidR="00CB2BBE" w:rsidRPr="00C10683">
        <w:rPr>
          <w:rFonts w:ascii="Times New Roman" w:hAnsi="Times New Roman" w:cs="Times New Roman"/>
          <w:i/>
          <w:iCs/>
          <w:sz w:val="24"/>
          <w:szCs w:val="24"/>
        </w:rPr>
        <w:t>in vitro</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Phytotherapy Research</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25</w:t>
      </w:r>
      <w:r w:rsidR="00CB2BBE" w:rsidRPr="00C10683">
        <w:rPr>
          <w:rFonts w:ascii="Times New Roman" w:hAnsi="Times New Roman" w:cs="Times New Roman"/>
          <w:sz w:val="24"/>
          <w:szCs w:val="24"/>
        </w:rPr>
        <w:t>(3), 396–401. https://doi.org/10.1002/ptr.3275</w:t>
      </w:r>
    </w:p>
    <w:p w:rsidR="00CB2BBE" w:rsidRPr="00C10683" w:rsidRDefault="00921C61" w:rsidP="00C10683">
      <w:pPr>
        <w:pStyle w:val="Bibliography"/>
        <w:jc w:val="both"/>
        <w:rPr>
          <w:rFonts w:ascii="Times New Roman" w:hAnsi="Times New Roman" w:cs="Times New Roman"/>
          <w:b/>
          <w:sz w:val="24"/>
          <w:szCs w:val="24"/>
        </w:rPr>
      </w:pPr>
      <w:r w:rsidRPr="00C10683">
        <w:rPr>
          <w:rFonts w:ascii="Times New Roman" w:hAnsi="Times New Roman" w:cs="Times New Roman"/>
          <w:b/>
          <w:sz w:val="24"/>
          <w:szCs w:val="24"/>
        </w:rPr>
        <w:t>51.</w:t>
      </w:r>
      <w:r w:rsidR="00CB2BBE" w:rsidRPr="00C10683">
        <w:rPr>
          <w:rFonts w:ascii="Times New Roman" w:hAnsi="Times New Roman" w:cs="Times New Roman"/>
          <w:sz w:val="24"/>
          <w:szCs w:val="24"/>
        </w:rPr>
        <w:t xml:space="preserve">Muhammad, H., Qasim, M., Ikram, A., Versiani, M. A., Tahiri, I. A., Yasmeen, K., Abbasi, M. W., Azeem, M., Ali, S. T., &amp; Gul, B. (2020). Antioxidant and antimicrobial activities of Ixora coccinea root and quantification of phenolic compounds using HPLC. </w:t>
      </w:r>
      <w:r w:rsidR="00CB2BBE" w:rsidRPr="00C10683">
        <w:rPr>
          <w:rFonts w:ascii="Times New Roman" w:hAnsi="Times New Roman" w:cs="Times New Roman"/>
          <w:i/>
          <w:iCs/>
          <w:sz w:val="24"/>
          <w:szCs w:val="24"/>
        </w:rPr>
        <w:t>South African Journal of Botany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135</w:t>
      </w:r>
      <w:r w:rsidR="00CB2BBE" w:rsidRPr="00C10683">
        <w:rPr>
          <w:rFonts w:ascii="Times New Roman" w:hAnsi="Times New Roman" w:cs="Times New Roman"/>
          <w:sz w:val="24"/>
          <w:szCs w:val="24"/>
        </w:rPr>
        <w:t>, 71–79. https://doi.org/10.1016/j.sajb.2020.08.012</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52. </w:t>
      </w:r>
      <w:r w:rsidR="00CB2BBE" w:rsidRPr="00C10683">
        <w:rPr>
          <w:rFonts w:ascii="Times New Roman" w:hAnsi="Times New Roman" w:cs="Times New Roman"/>
          <w:sz w:val="24"/>
          <w:szCs w:val="24"/>
        </w:rPr>
        <w:t xml:space="preserve">Nagao, T., Komine, Y., Soga, S., Meguro, S., Hase, T., Tanaka, Y., &amp; Tokimitsu, I. (2005). Ingestion of a tea rich in catechins leads to a reduction in body fat and malondialdehyde-modified LDL in men. </w:t>
      </w:r>
      <w:r w:rsidR="00CB2BBE" w:rsidRPr="00C10683">
        <w:rPr>
          <w:rFonts w:ascii="Times New Roman" w:hAnsi="Times New Roman" w:cs="Times New Roman"/>
          <w:i/>
          <w:iCs/>
          <w:sz w:val="24"/>
          <w:szCs w:val="24"/>
        </w:rPr>
        <w:t>The American Journal of Clinical Nutrition</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81</w:t>
      </w:r>
      <w:r w:rsidR="00CB2BBE" w:rsidRPr="00C10683">
        <w:rPr>
          <w:rFonts w:ascii="Times New Roman" w:hAnsi="Times New Roman" w:cs="Times New Roman"/>
          <w:sz w:val="24"/>
          <w:szCs w:val="24"/>
        </w:rPr>
        <w:t>(1), 122–129. https://doi.org/10.1093/ajcn/81.1.122</w:t>
      </w:r>
    </w:p>
    <w:p w:rsidR="00CB2BBE" w:rsidRPr="00C10683" w:rsidRDefault="00921C61"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53. </w:t>
      </w:r>
      <w:r w:rsidR="00CB2BBE" w:rsidRPr="00C10683">
        <w:rPr>
          <w:rFonts w:ascii="Times New Roman" w:hAnsi="Times New Roman" w:cs="Times New Roman"/>
          <w:sz w:val="24"/>
          <w:szCs w:val="24"/>
        </w:rPr>
        <w:t xml:space="preserve">Nayak, A. (2023). Evaluation of Antidiabetic and Lipid-Lowering Effect of Marsdenia tenacissima and Sphaeranthus indicus. </w:t>
      </w:r>
      <w:r w:rsidR="00CB2BBE" w:rsidRPr="00C10683">
        <w:rPr>
          <w:rFonts w:ascii="Times New Roman" w:hAnsi="Times New Roman" w:cs="Times New Roman"/>
          <w:i/>
          <w:iCs/>
          <w:sz w:val="24"/>
          <w:szCs w:val="24"/>
        </w:rPr>
        <w:t>Journal of Pharmacology and Toxicology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18</w:t>
      </w:r>
      <w:r w:rsidR="00CB2BBE" w:rsidRPr="00C10683">
        <w:rPr>
          <w:rFonts w:ascii="Times New Roman" w:hAnsi="Times New Roman" w:cs="Times New Roman"/>
          <w:sz w:val="24"/>
          <w:szCs w:val="24"/>
        </w:rPr>
        <w:t>(1), 10–16. https://doi.org/10.3923/jpt.2023.10.16</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54. </w:t>
      </w:r>
      <w:r w:rsidR="00CB2BBE" w:rsidRPr="00C10683">
        <w:rPr>
          <w:rFonts w:ascii="Times New Roman" w:hAnsi="Times New Roman" w:cs="Times New Roman"/>
          <w:sz w:val="24"/>
          <w:szCs w:val="24"/>
        </w:rPr>
        <w:t xml:space="preserve">Om Parkash Sharma &amp; Shalu Sharma. (2022). A Critical Review of Amalaki- (Emblica Officinalis Gaertn.) in Classical Texts and Promote its Use in Our Life. </w:t>
      </w:r>
      <w:r w:rsidR="00CB2BBE" w:rsidRPr="00C10683">
        <w:rPr>
          <w:rFonts w:ascii="Times New Roman" w:hAnsi="Times New Roman" w:cs="Times New Roman"/>
          <w:i/>
          <w:iCs/>
          <w:sz w:val="24"/>
          <w:szCs w:val="24"/>
        </w:rPr>
        <w:t>International Journal of Ayurveda and Pharma Research</w:t>
      </w:r>
      <w:r w:rsidR="00CB2BBE" w:rsidRPr="00C10683">
        <w:rPr>
          <w:rFonts w:ascii="Times New Roman" w:hAnsi="Times New Roman" w:cs="Times New Roman"/>
          <w:sz w:val="24"/>
          <w:szCs w:val="24"/>
        </w:rPr>
        <w:t>, 91–98. https://doi.org/10.47070/ijapr.v10i7.2412</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55. </w:t>
      </w:r>
      <w:r w:rsidR="00CB2BBE" w:rsidRPr="00C10683">
        <w:rPr>
          <w:rFonts w:ascii="Times New Roman" w:hAnsi="Times New Roman" w:cs="Times New Roman"/>
          <w:sz w:val="24"/>
          <w:szCs w:val="24"/>
        </w:rPr>
        <w:t xml:space="preserve">Palomer, X., Pizarro-Delgado, J., Barroso, E., &amp; Vázquez-Carrera, M. (2018). Palmitic and Oleic Acid: The Yin and Yang of Fatty Acids in Type 2 Diabetes Mellitus. </w:t>
      </w:r>
      <w:r w:rsidR="00CB2BBE" w:rsidRPr="00C10683">
        <w:rPr>
          <w:rFonts w:ascii="Times New Roman" w:hAnsi="Times New Roman" w:cs="Times New Roman"/>
          <w:i/>
          <w:iCs/>
          <w:sz w:val="24"/>
          <w:szCs w:val="24"/>
        </w:rPr>
        <w:t>Trends in Endocrinology &amp; Metabolism</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29</w:t>
      </w:r>
      <w:r w:rsidR="00CB2BBE" w:rsidRPr="00C10683">
        <w:rPr>
          <w:rFonts w:ascii="Times New Roman" w:hAnsi="Times New Roman" w:cs="Times New Roman"/>
          <w:sz w:val="24"/>
          <w:szCs w:val="24"/>
        </w:rPr>
        <w:t>(3), 178–190. https://doi.org/10.1016/j.tem.2017.11.009</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56. </w:t>
      </w:r>
      <w:r w:rsidR="00CB2BBE" w:rsidRPr="00C10683">
        <w:rPr>
          <w:rFonts w:ascii="Times New Roman" w:hAnsi="Times New Roman" w:cs="Times New Roman"/>
          <w:sz w:val="24"/>
          <w:szCs w:val="24"/>
        </w:rPr>
        <w:t xml:space="preserve">Pandey, A., Tripathi, P., Pandey, R., Srivatava, R., &amp; Goswami, S. (2011). Alternative therapies useful in the management of diabetes: A systematic review. </w:t>
      </w:r>
      <w:r w:rsidR="00CB2BBE" w:rsidRPr="00C10683">
        <w:rPr>
          <w:rFonts w:ascii="Times New Roman" w:hAnsi="Times New Roman" w:cs="Times New Roman"/>
          <w:i/>
          <w:iCs/>
          <w:sz w:val="24"/>
          <w:szCs w:val="24"/>
        </w:rPr>
        <w:t>Journal of Pharmacy And Bioallied Sciences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w:t>
      </w:r>
      <w:r w:rsidR="00CB2BBE" w:rsidRPr="00C10683">
        <w:rPr>
          <w:rFonts w:ascii="Times New Roman" w:hAnsi="Times New Roman" w:cs="Times New Roman"/>
          <w:sz w:val="24"/>
          <w:szCs w:val="24"/>
        </w:rPr>
        <w:t>(4), 504. https://doi.org/10.4103/0975-7406.90103</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57. </w:t>
      </w:r>
      <w:r w:rsidR="00CB2BBE" w:rsidRPr="00C10683">
        <w:rPr>
          <w:rFonts w:ascii="Times New Roman" w:hAnsi="Times New Roman" w:cs="Times New Roman"/>
          <w:sz w:val="24"/>
          <w:szCs w:val="24"/>
        </w:rPr>
        <w:t xml:space="preserve">Pieczykolan, A., Pietrzak, W., Gawlik-Dziki, U., &amp; Nowak, R. (2021). Antioxidant, Anti-Inflammatory, and Anti-Diabetic Activity of Phenolic Acids Fractions Obtained from Aerva lanata (L.) Juss. </w:t>
      </w:r>
      <w:r w:rsidR="00CB2BBE" w:rsidRPr="00C10683">
        <w:rPr>
          <w:rFonts w:ascii="Times New Roman" w:hAnsi="Times New Roman" w:cs="Times New Roman"/>
          <w:i/>
          <w:iCs/>
          <w:sz w:val="24"/>
          <w:szCs w:val="24"/>
        </w:rPr>
        <w:t>Molecules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26</w:t>
      </w:r>
      <w:r w:rsidR="00CB2BBE" w:rsidRPr="00C10683">
        <w:rPr>
          <w:rFonts w:ascii="Times New Roman" w:hAnsi="Times New Roman" w:cs="Times New Roman"/>
          <w:sz w:val="24"/>
          <w:szCs w:val="24"/>
        </w:rPr>
        <w:t>(12), 3486. https://doi.org/10.3390/molecules26123486</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58. </w:t>
      </w:r>
      <w:r w:rsidR="00CB2BBE" w:rsidRPr="00C10683">
        <w:rPr>
          <w:rFonts w:ascii="Times New Roman" w:hAnsi="Times New Roman" w:cs="Times New Roman"/>
          <w:sz w:val="24"/>
          <w:szCs w:val="24"/>
        </w:rPr>
        <w:t xml:space="preserve">Praveen Kumar Soni, &amp; Ashish Agrawal. (2022). </w:t>
      </w:r>
      <w:r w:rsidR="00CB2BBE" w:rsidRPr="00C10683">
        <w:rPr>
          <w:rFonts w:ascii="Times New Roman" w:hAnsi="Times New Roman" w:cs="Times New Roman"/>
          <w:i/>
          <w:iCs/>
          <w:sz w:val="24"/>
          <w:szCs w:val="24"/>
        </w:rPr>
        <w:t>Preliminary Phytochemical &amp; In-vitro Anti-diabetic Activity of Different Extracts of Plumbago zeylanica Linn. Root</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Journal Volume 11</w:t>
      </w:r>
      <w:r w:rsidR="00CB2BBE" w:rsidRPr="00C10683">
        <w:rPr>
          <w:rFonts w:ascii="Times New Roman" w:hAnsi="Times New Roman" w:cs="Times New Roman"/>
          <w:sz w:val="24"/>
          <w:szCs w:val="24"/>
        </w:rPr>
        <w:t>.</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59. </w:t>
      </w:r>
      <w:r w:rsidR="00CB2BBE" w:rsidRPr="00C10683">
        <w:rPr>
          <w:rFonts w:ascii="Times New Roman" w:hAnsi="Times New Roman" w:cs="Times New Roman"/>
          <w:sz w:val="24"/>
          <w:szCs w:val="24"/>
        </w:rPr>
        <w:t xml:space="preserve">Punithavathi, V. R., Prince, P. S. M., Kumar, R., &amp; Selvakumari, J. (2011). Antihyperglycaemic, antilipid peroxidative and antioxidant effects of gallic acid on streptozotocin induced diabetic Wistar rats. </w:t>
      </w:r>
      <w:r w:rsidR="00CB2BBE" w:rsidRPr="00C10683">
        <w:rPr>
          <w:rFonts w:ascii="Times New Roman" w:hAnsi="Times New Roman" w:cs="Times New Roman"/>
          <w:i/>
          <w:iCs/>
          <w:sz w:val="24"/>
          <w:szCs w:val="24"/>
        </w:rPr>
        <w:t>European Journal of Pharmacology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650</w:t>
      </w:r>
      <w:r w:rsidR="00CB2BBE" w:rsidRPr="00C10683">
        <w:rPr>
          <w:rFonts w:ascii="Times New Roman" w:hAnsi="Times New Roman" w:cs="Times New Roman"/>
          <w:sz w:val="24"/>
          <w:szCs w:val="24"/>
        </w:rPr>
        <w:t>(1), 465–471. https://doi.org/10.1016/j.ejphar.2010.08.059</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60. </w:t>
      </w:r>
      <w:r w:rsidR="00CB2BBE" w:rsidRPr="00C10683">
        <w:rPr>
          <w:rFonts w:ascii="Times New Roman" w:hAnsi="Times New Roman" w:cs="Times New Roman"/>
          <w:sz w:val="24"/>
          <w:szCs w:val="24"/>
        </w:rPr>
        <w:t xml:space="preserve">Rastgoo Haghi, A., Khorami, N., Fotoohi, M., &amp; Moradi, A. (2021). MIF and MMP-9 Serum Changes in Type II Diabetes and Non-Diabetic Subjects: A Short Communication. </w:t>
      </w:r>
      <w:r w:rsidR="00CB2BBE" w:rsidRPr="00C10683">
        <w:rPr>
          <w:rFonts w:ascii="Times New Roman" w:hAnsi="Times New Roman" w:cs="Times New Roman"/>
          <w:i/>
          <w:iCs/>
          <w:sz w:val="24"/>
          <w:szCs w:val="24"/>
        </w:rPr>
        <w:t>Iranian Journal of Pathology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16</w:t>
      </w:r>
      <w:r w:rsidR="00CB2BBE" w:rsidRPr="00C10683">
        <w:rPr>
          <w:rFonts w:ascii="Times New Roman" w:hAnsi="Times New Roman" w:cs="Times New Roman"/>
          <w:sz w:val="24"/>
          <w:szCs w:val="24"/>
        </w:rPr>
        <w:t>(4), 444–447. https://doi.org/10.30699/ijp.2021.131429.2456</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61. </w:t>
      </w:r>
      <w:r w:rsidR="00CB2BBE" w:rsidRPr="00C10683">
        <w:rPr>
          <w:rFonts w:ascii="Times New Roman" w:hAnsi="Times New Roman" w:cs="Times New Roman"/>
          <w:sz w:val="24"/>
          <w:szCs w:val="24"/>
        </w:rPr>
        <w:t xml:space="preserve">Roca-Rivada, A., Castelao, C., Senin, L. L., Landrove, M. O., Baltar, J., Crujeiras, A. B., Seoane, L. M., Casanueva, F. F., &amp; Pardo, M. (2013). FNDC5/Irisin Is Not Only a Myokine but Also an Adipokine. </w:t>
      </w:r>
      <w:r w:rsidR="00CB2BBE" w:rsidRPr="00C10683">
        <w:rPr>
          <w:rFonts w:ascii="Times New Roman" w:hAnsi="Times New Roman" w:cs="Times New Roman"/>
          <w:i/>
          <w:iCs/>
          <w:sz w:val="24"/>
          <w:szCs w:val="24"/>
        </w:rPr>
        <w:t>PLoS ONE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8</w:t>
      </w:r>
      <w:r w:rsidR="00CB2BBE" w:rsidRPr="00C10683">
        <w:rPr>
          <w:rFonts w:ascii="Times New Roman" w:hAnsi="Times New Roman" w:cs="Times New Roman"/>
          <w:sz w:val="24"/>
          <w:szCs w:val="24"/>
        </w:rPr>
        <w:t>(4), e60563. https://doi.org/10.1371/journal.pone.0060563</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lastRenderedPageBreak/>
        <w:t xml:space="preserve">62. </w:t>
      </w:r>
      <w:r w:rsidR="00CB2BBE" w:rsidRPr="00C10683">
        <w:rPr>
          <w:rFonts w:ascii="Times New Roman" w:hAnsi="Times New Roman" w:cs="Times New Roman"/>
          <w:sz w:val="24"/>
          <w:szCs w:val="24"/>
        </w:rPr>
        <w:t xml:space="preserve">Ruvin Kumara, N. K. V. M., Pathirana, R. N., &amp; Pathirana, C. (2005). Hypoglycemic Activity of the Root and Stem of </w:t>
      </w:r>
      <w:r w:rsidR="00CB2BBE" w:rsidRPr="00C10683">
        <w:rPr>
          <w:rFonts w:ascii="Times New Roman" w:hAnsi="Times New Roman" w:cs="Times New Roman"/>
          <w:i/>
          <w:iCs/>
          <w:sz w:val="24"/>
          <w:szCs w:val="24"/>
        </w:rPr>
        <w:t>Salacia reticulata</w:t>
      </w:r>
      <w:r w:rsidR="00CB2BBE" w:rsidRPr="00C10683">
        <w:rPr>
          <w:rFonts w:ascii="Times New Roman" w:hAnsi="Times New Roman" w:cs="Times New Roman"/>
          <w:sz w:val="24"/>
          <w:szCs w:val="24"/>
        </w:rPr>
        <w:t xml:space="preserve">. Var. β- </w:t>
      </w:r>
      <w:r w:rsidR="00CB2BBE" w:rsidRPr="00C10683">
        <w:rPr>
          <w:rFonts w:ascii="Times New Roman" w:hAnsi="Times New Roman" w:cs="Times New Roman"/>
          <w:i/>
          <w:iCs/>
          <w:sz w:val="24"/>
          <w:szCs w:val="24"/>
        </w:rPr>
        <w:t>diandra</w:t>
      </w:r>
      <w:r w:rsidR="00CB2BBE" w:rsidRPr="00C10683">
        <w:rPr>
          <w:rFonts w:ascii="Times New Roman" w:hAnsi="Times New Roman" w:cs="Times New Roman"/>
          <w:sz w:val="24"/>
          <w:szCs w:val="24"/>
        </w:rPr>
        <w:t xml:space="preserve">. In Alloxan Diabetic Rats. </w:t>
      </w:r>
      <w:r w:rsidR="00CB2BBE" w:rsidRPr="00C10683">
        <w:rPr>
          <w:rFonts w:ascii="Times New Roman" w:hAnsi="Times New Roman" w:cs="Times New Roman"/>
          <w:i/>
          <w:iCs/>
          <w:sz w:val="24"/>
          <w:szCs w:val="24"/>
        </w:rPr>
        <w:t>Pharmaceutical Biology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43</w:t>
      </w:r>
      <w:r w:rsidR="00CB2BBE" w:rsidRPr="00C10683">
        <w:rPr>
          <w:rFonts w:ascii="Times New Roman" w:hAnsi="Times New Roman" w:cs="Times New Roman"/>
          <w:sz w:val="24"/>
          <w:szCs w:val="24"/>
        </w:rPr>
        <w:t>(3), 219–225. https://doi.org/10.1080/13880200590928780</w:t>
      </w:r>
    </w:p>
    <w:p w:rsidR="00CB2BBE" w:rsidRPr="00C10683" w:rsidRDefault="00672D8C"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63. </w:t>
      </w:r>
      <w:r w:rsidR="00CB2BBE" w:rsidRPr="00C10683">
        <w:rPr>
          <w:rFonts w:ascii="Times New Roman" w:hAnsi="Times New Roman" w:cs="Times New Roman"/>
          <w:sz w:val="24"/>
          <w:szCs w:val="24"/>
        </w:rPr>
        <w:t xml:space="preserve">S. Karan, , D. Pal, S. Mishra, &amp; Mondal, A. (2013). Antihyperglycaemic Effect of Vetiveria zizanioides (L.) Nash Root Extract in Alloxan Induced Diabetic Rats. </w:t>
      </w:r>
      <w:r w:rsidR="00CB2BBE" w:rsidRPr="00C10683">
        <w:rPr>
          <w:rFonts w:ascii="Times New Roman" w:hAnsi="Times New Roman" w:cs="Times New Roman"/>
          <w:i/>
          <w:iCs/>
          <w:sz w:val="24"/>
          <w:szCs w:val="24"/>
        </w:rPr>
        <w:t>Asian Journal of Chemistry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25</w:t>
      </w:r>
      <w:r w:rsidR="00CB2BBE" w:rsidRPr="00C10683">
        <w:rPr>
          <w:rFonts w:ascii="Times New Roman" w:hAnsi="Times New Roman" w:cs="Times New Roman"/>
          <w:sz w:val="24"/>
          <w:szCs w:val="24"/>
        </w:rPr>
        <w:t>(3). https://doi.org/10.14233/ajchem.2013.13137</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63. </w:t>
      </w:r>
      <w:r w:rsidR="00CB2BBE" w:rsidRPr="00C10683">
        <w:rPr>
          <w:rFonts w:ascii="Times New Roman" w:hAnsi="Times New Roman" w:cs="Times New Roman"/>
          <w:sz w:val="24"/>
          <w:szCs w:val="24"/>
        </w:rPr>
        <w:t xml:space="preserve">Saitoh, O., Hirano, A., &amp; Nishimura, Y. (2007). Intestinal STC-1 cells respond to five basic taste stimuli. </w:t>
      </w:r>
      <w:r w:rsidR="00CB2BBE" w:rsidRPr="00C10683">
        <w:rPr>
          <w:rFonts w:ascii="Times New Roman" w:hAnsi="Times New Roman" w:cs="Times New Roman"/>
          <w:i/>
          <w:iCs/>
          <w:sz w:val="24"/>
          <w:szCs w:val="24"/>
        </w:rPr>
        <w:t>NeuroReport</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18</w:t>
      </w:r>
      <w:r w:rsidR="00CB2BBE" w:rsidRPr="00C10683">
        <w:rPr>
          <w:rFonts w:ascii="Times New Roman" w:hAnsi="Times New Roman" w:cs="Times New Roman"/>
          <w:sz w:val="24"/>
          <w:szCs w:val="24"/>
        </w:rPr>
        <w:t>(18), 1991–1995. https://doi.org/10.1097/WNR.0b013e3282f242d3</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64. </w:t>
      </w:r>
      <w:r w:rsidR="00CB2BBE" w:rsidRPr="00C10683">
        <w:rPr>
          <w:rFonts w:ascii="Times New Roman" w:hAnsi="Times New Roman" w:cs="Times New Roman"/>
          <w:sz w:val="24"/>
          <w:szCs w:val="24"/>
        </w:rPr>
        <w:t xml:space="preserve">Sanmugapriya, E., &amp; Venkataraman, S. (2006). Studies on hepatoprotective and antioxidant actions of Strychnos potatorum Linn. Seeds on CCl4-induced acute hepatic injury in experimental rats. </w:t>
      </w:r>
      <w:r w:rsidR="00CB2BBE" w:rsidRPr="00C10683">
        <w:rPr>
          <w:rFonts w:ascii="Times New Roman" w:hAnsi="Times New Roman" w:cs="Times New Roman"/>
          <w:i/>
          <w:iCs/>
          <w:sz w:val="24"/>
          <w:szCs w:val="24"/>
        </w:rPr>
        <w:t>Journal of Ethnopharmacology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105</w:t>
      </w:r>
      <w:r w:rsidR="00CB2BBE" w:rsidRPr="00C10683">
        <w:rPr>
          <w:rFonts w:ascii="Times New Roman" w:hAnsi="Times New Roman" w:cs="Times New Roman"/>
          <w:sz w:val="24"/>
          <w:szCs w:val="24"/>
        </w:rPr>
        <w:t>(1–2), 154–160. https://doi.org/10.1016/j.jep.2005.10.028</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65. </w:t>
      </w:r>
      <w:r w:rsidR="00CB2BBE" w:rsidRPr="00C10683">
        <w:rPr>
          <w:rFonts w:ascii="Times New Roman" w:hAnsi="Times New Roman" w:cs="Times New Roman"/>
          <w:sz w:val="24"/>
          <w:szCs w:val="24"/>
        </w:rPr>
        <w:t xml:space="preserve">Schellenberg, E. S., Dryden, D. M., Vandermeer, B., Ha, C., &amp; Korownyk, C. (2013). Lifestyle Interventions for Patients With and at Risk for Type 2 Diabetes: A Systematic Review and Meta-analysis. </w:t>
      </w:r>
      <w:r w:rsidR="00CB2BBE" w:rsidRPr="00C10683">
        <w:rPr>
          <w:rFonts w:ascii="Times New Roman" w:hAnsi="Times New Roman" w:cs="Times New Roman"/>
          <w:i/>
          <w:iCs/>
          <w:sz w:val="24"/>
          <w:szCs w:val="24"/>
        </w:rPr>
        <w:t>Annals of Internal Medicine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159</w:t>
      </w:r>
      <w:r w:rsidR="00CB2BBE" w:rsidRPr="00C10683">
        <w:rPr>
          <w:rFonts w:ascii="Times New Roman" w:hAnsi="Times New Roman" w:cs="Times New Roman"/>
          <w:sz w:val="24"/>
          <w:szCs w:val="24"/>
        </w:rPr>
        <w:t>(8), 543. https://doi.org/10.7326/0003-4819-159-8-201310150-00007</w:t>
      </w:r>
    </w:p>
    <w:p w:rsidR="00422175"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66. </w:t>
      </w:r>
      <w:r w:rsidR="00CB2BBE" w:rsidRPr="00C10683">
        <w:rPr>
          <w:rFonts w:ascii="Times New Roman" w:hAnsi="Times New Roman" w:cs="Times New Roman"/>
          <w:sz w:val="24"/>
          <w:szCs w:val="24"/>
        </w:rPr>
        <w:t xml:space="preserve">Schwartz, S. S., Epstein, S., Corkey, B. E., Grant, S. F. A., Gavin, J. R., &amp; Aguilar, R. B. (2016). The Time Is Right for a New Classification System for Diabetes: Rationale and Implications of the β-Cell–Centric Classification Schema. </w:t>
      </w:r>
      <w:r w:rsidR="00CB2BBE" w:rsidRPr="00C10683">
        <w:rPr>
          <w:rFonts w:ascii="Times New Roman" w:hAnsi="Times New Roman" w:cs="Times New Roman"/>
          <w:i/>
          <w:iCs/>
          <w:sz w:val="24"/>
          <w:szCs w:val="24"/>
        </w:rPr>
        <w:t>Diabetes Care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39</w:t>
      </w:r>
      <w:r w:rsidR="00CB2BBE" w:rsidRPr="00C10683">
        <w:rPr>
          <w:rFonts w:ascii="Times New Roman" w:hAnsi="Times New Roman" w:cs="Times New Roman"/>
          <w:sz w:val="24"/>
          <w:szCs w:val="24"/>
        </w:rPr>
        <w:t>(2), 179–186. https://doi.org/10.2337/dc15-1585</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67. </w:t>
      </w:r>
      <w:r w:rsidR="00CB2BBE" w:rsidRPr="00C10683">
        <w:rPr>
          <w:rFonts w:ascii="Times New Roman" w:hAnsi="Times New Roman" w:cs="Times New Roman"/>
          <w:sz w:val="24"/>
          <w:szCs w:val="24"/>
        </w:rPr>
        <w:t xml:space="preserve">senthi kumar, G., Arulselvan, &amp; Sathish kumar. (2006). </w:t>
      </w:r>
      <w:r w:rsidR="00CB2BBE" w:rsidRPr="00C10683">
        <w:rPr>
          <w:rFonts w:ascii="Times New Roman" w:hAnsi="Times New Roman" w:cs="Times New Roman"/>
          <w:i/>
          <w:iCs/>
          <w:sz w:val="24"/>
          <w:szCs w:val="24"/>
        </w:rPr>
        <w:t>Treatment with Terminalia chebula and glibenclamide led to a significant reduction in body weight, followed by improved weight gain, particularly noticeable in rats administered Terminalia chebula. Moreover, the ethanol extract from Terminalia chebula fruit demonstrated significant hypoglycemic effects in STZ-induced diabetic rats, surpassing the effectiveness of glibenclamide.</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68. </w:t>
      </w:r>
      <w:r w:rsidR="00CB2BBE" w:rsidRPr="00C10683">
        <w:rPr>
          <w:rFonts w:ascii="Times New Roman" w:hAnsi="Times New Roman" w:cs="Times New Roman"/>
          <w:sz w:val="24"/>
          <w:szCs w:val="24"/>
        </w:rPr>
        <w:t xml:space="preserve">Sharma AP. (2015a). </w:t>
      </w:r>
      <w:r w:rsidR="00CB2BBE" w:rsidRPr="00C10683">
        <w:rPr>
          <w:rFonts w:ascii="Times New Roman" w:hAnsi="Times New Roman" w:cs="Times New Roman"/>
          <w:i/>
          <w:iCs/>
          <w:sz w:val="24"/>
          <w:szCs w:val="24"/>
        </w:rPr>
        <w:t>Artavsangrahaniya Chokhambha Sanshkrit; 2015.</w:t>
      </w:r>
      <w:r w:rsidR="00CB2BBE" w:rsidRPr="00C10683">
        <w:rPr>
          <w:rFonts w:ascii="Times New Roman" w:hAnsi="Times New Roman" w:cs="Times New Roman"/>
          <w:sz w:val="24"/>
          <w:szCs w:val="24"/>
        </w:rPr>
        <w:t xml:space="preserve"> Chokhambha Sanshkrit.</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69. </w:t>
      </w:r>
      <w:r w:rsidR="00CB2BBE" w:rsidRPr="00C10683">
        <w:rPr>
          <w:rFonts w:ascii="Times New Roman" w:hAnsi="Times New Roman" w:cs="Times New Roman"/>
          <w:sz w:val="24"/>
          <w:szCs w:val="24"/>
        </w:rPr>
        <w:t xml:space="preserve">Sharma AP. (2015b). </w:t>
      </w:r>
      <w:r w:rsidR="00CB2BBE" w:rsidRPr="00C10683">
        <w:rPr>
          <w:rFonts w:ascii="Times New Roman" w:hAnsi="Times New Roman" w:cs="Times New Roman"/>
          <w:i/>
          <w:iCs/>
          <w:sz w:val="24"/>
          <w:szCs w:val="24"/>
        </w:rPr>
        <w:t>Ashamaribhedana. Uttar Pradesh: Chokhambha Sanshkrit;</w:t>
      </w:r>
    </w:p>
    <w:p w:rsidR="00CB2BBE" w:rsidRPr="00C10683" w:rsidRDefault="00422175" w:rsidP="00C10683">
      <w:pPr>
        <w:pStyle w:val="Bibliography"/>
        <w:tabs>
          <w:tab w:val="right" w:pos="9026"/>
        </w:tabs>
        <w:jc w:val="both"/>
        <w:rPr>
          <w:rFonts w:ascii="Times New Roman" w:hAnsi="Times New Roman" w:cs="Times New Roman"/>
          <w:sz w:val="24"/>
          <w:szCs w:val="24"/>
        </w:rPr>
      </w:pPr>
      <w:r w:rsidRPr="00C10683">
        <w:rPr>
          <w:rFonts w:ascii="Times New Roman" w:hAnsi="Times New Roman" w:cs="Times New Roman"/>
          <w:b/>
          <w:sz w:val="24"/>
          <w:szCs w:val="24"/>
        </w:rPr>
        <w:t xml:space="preserve">70. </w:t>
      </w:r>
      <w:r w:rsidR="00CB2BBE" w:rsidRPr="00C10683">
        <w:rPr>
          <w:rFonts w:ascii="Times New Roman" w:hAnsi="Times New Roman" w:cs="Times New Roman"/>
          <w:sz w:val="24"/>
          <w:szCs w:val="24"/>
        </w:rPr>
        <w:t xml:space="preserve">Sharma AP. (2015c). </w:t>
      </w:r>
      <w:r w:rsidR="00CB2BBE" w:rsidRPr="00C10683">
        <w:rPr>
          <w:rFonts w:ascii="Times New Roman" w:hAnsi="Times New Roman" w:cs="Times New Roman"/>
          <w:i/>
          <w:iCs/>
          <w:sz w:val="24"/>
          <w:szCs w:val="24"/>
        </w:rPr>
        <w:t>Chakshushyadivarga Chokhambha Sanskrit;</w:t>
      </w:r>
      <w:r w:rsidR="00CB2BBE" w:rsidRPr="00C10683">
        <w:rPr>
          <w:rFonts w:ascii="Times New Roman" w:hAnsi="Times New Roman" w:cs="Times New Roman"/>
          <w:sz w:val="24"/>
          <w:szCs w:val="24"/>
        </w:rPr>
        <w:tab/>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71. </w:t>
      </w:r>
      <w:r w:rsidR="00CB2BBE" w:rsidRPr="00C10683">
        <w:rPr>
          <w:rFonts w:ascii="Times New Roman" w:hAnsi="Times New Roman" w:cs="Times New Roman"/>
          <w:sz w:val="24"/>
          <w:szCs w:val="24"/>
        </w:rPr>
        <w:t xml:space="preserve">Sharma AP. (2015d). </w:t>
      </w:r>
      <w:r w:rsidR="00CB2BBE" w:rsidRPr="00C10683">
        <w:rPr>
          <w:rFonts w:ascii="Times New Roman" w:hAnsi="Times New Roman" w:cs="Times New Roman"/>
          <w:i/>
          <w:iCs/>
          <w:sz w:val="24"/>
          <w:szCs w:val="24"/>
        </w:rPr>
        <w:t>Madhumehahara Chokhambha Sanshkrit</w:t>
      </w:r>
      <w:r w:rsidR="00CB2BBE" w:rsidRPr="00C10683">
        <w:rPr>
          <w:rFonts w:ascii="Times New Roman" w:hAnsi="Times New Roman" w:cs="Times New Roman"/>
          <w:sz w:val="24"/>
          <w:szCs w:val="24"/>
        </w:rPr>
        <w:t>.</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72. </w:t>
      </w:r>
      <w:r w:rsidR="00CB2BBE" w:rsidRPr="00C10683">
        <w:rPr>
          <w:rFonts w:ascii="Times New Roman" w:hAnsi="Times New Roman" w:cs="Times New Roman"/>
          <w:sz w:val="24"/>
          <w:szCs w:val="24"/>
        </w:rPr>
        <w:t xml:space="preserve">Sharma AP. (2015e). </w:t>
      </w:r>
      <w:r w:rsidR="00CB2BBE" w:rsidRPr="00C10683">
        <w:rPr>
          <w:rFonts w:ascii="Times New Roman" w:hAnsi="Times New Roman" w:cs="Times New Roman"/>
          <w:i/>
          <w:iCs/>
          <w:sz w:val="24"/>
          <w:szCs w:val="24"/>
        </w:rPr>
        <w:t>SwedapanayanaChokhambha Sanshkrit</w:t>
      </w:r>
      <w:r w:rsidR="00CB2BBE" w:rsidRPr="00C10683">
        <w:rPr>
          <w:rFonts w:ascii="Times New Roman" w:hAnsi="Times New Roman" w:cs="Times New Roman"/>
          <w:sz w:val="24"/>
          <w:szCs w:val="24"/>
        </w:rPr>
        <w:t>.</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73. </w:t>
      </w:r>
      <w:r w:rsidR="00CB2BBE" w:rsidRPr="00C10683">
        <w:rPr>
          <w:rFonts w:ascii="Times New Roman" w:hAnsi="Times New Roman" w:cs="Times New Roman"/>
          <w:sz w:val="24"/>
          <w:szCs w:val="24"/>
        </w:rPr>
        <w:t xml:space="preserve">Sharma, H., &amp; Chandola, H. M. (2011). </w:t>
      </w:r>
      <w:r w:rsidR="00CB2BBE" w:rsidRPr="00C10683">
        <w:rPr>
          <w:rFonts w:ascii="Times New Roman" w:hAnsi="Times New Roman" w:cs="Times New Roman"/>
          <w:i/>
          <w:iCs/>
          <w:sz w:val="24"/>
          <w:szCs w:val="24"/>
        </w:rPr>
        <w:t>Prameha</w:t>
      </w:r>
      <w:r w:rsidR="00CB2BBE" w:rsidRPr="00C10683">
        <w:rPr>
          <w:rFonts w:ascii="Times New Roman" w:hAnsi="Times New Roman" w:cs="Times New Roman"/>
          <w:sz w:val="24"/>
          <w:szCs w:val="24"/>
        </w:rPr>
        <w:t xml:space="preserve"> in </w:t>
      </w:r>
      <w:r w:rsidR="00CB2BBE" w:rsidRPr="00C10683">
        <w:rPr>
          <w:rFonts w:ascii="Times New Roman" w:hAnsi="Times New Roman" w:cs="Times New Roman"/>
          <w:i/>
          <w:iCs/>
          <w:sz w:val="24"/>
          <w:szCs w:val="24"/>
        </w:rPr>
        <w:t>Ayurveda</w:t>
      </w:r>
      <w:r w:rsidR="00CB2BBE" w:rsidRPr="00C10683">
        <w:rPr>
          <w:rFonts w:ascii="Times New Roman" w:hAnsi="Times New Roman" w:cs="Times New Roman"/>
          <w:sz w:val="24"/>
          <w:szCs w:val="24"/>
        </w:rPr>
        <w:t xml:space="preserve">: Correlation with Obesity, Metabolic Syndrome, and Diabetes Mellitus. Part 1–Etiology, Classification, and Pathogenesis. </w:t>
      </w:r>
      <w:r w:rsidR="00CB2BBE" w:rsidRPr="00C10683">
        <w:rPr>
          <w:rFonts w:ascii="Times New Roman" w:hAnsi="Times New Roman" w:cs="Times New Roman"/>
          <w:i/>
          <w:iCs/>
          <w:sz w:val="24"/>
          <w:szCs w:val="24"/>
        </w:rPr>
        <w:t>The Journal of Alternative and Complementary Medicine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17</w:t>
      </w:r>
      <w:r w:rsidR="00CB2BBE" w:rsidRPr="00C10683">
        <w:rPr>
          <w:rFonts w:ascii="Times New Roman" w:hAnsi="Times New Roman" w:cs="Times New Roman"/>
          <w:sz w:val="24"/>
          <w:szCs w:val="24"/>
        </w:rPr>
        <w:t>(6), 491–496. https://doi.org/10.1089/acm.2010.0396</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74. </w:t>
      </w:r>
      <w:r w:rsidR="00CB2BBE" w:rsidRPr="00C10683">
        <w:rPr>
          <w:rFonts w:ascii="Times New Roman" w:hAnsi="Times New Roman" w:cs="Times New Roman"/>
          <w:sz w:val="24"/>
          <w:szCs w:val="24"/>
        </w:rPr>
        <w:t xml:space="preserve">Silva Figueiredo, P., Carla Inada, A., Marcelino, G., Maiara Lopes Cardozo, C., De Cássia Freitas, K., De Cássia Avellaneda Guimarães, R., Pereira De Castro, A., Aragão Do Nascimento, V., &amp; Aiko Hiane, P. (2017). Fatty Acids Consumption: The Role Metabolic </w:t>
      </w:r>
      <w:r w:rsidR="00CB2BBE" w:rsidRPr="00C10683">
        <w:rPr>
          <w:rFonts w:ascii="Times New Roman" w:hAnsi="Times New Roman" w:cs="Times New Roman"/>
          <w:sz w:val="24"/>
          <w:szCs w:val="24"/>
        </w:rPr>
        <w:lastRenderedPageBreak/>
        <w:t xml:space="preserve">Aspects Involved in Obesity and Its Associated Disorders. </w:t>
      </w:r>
      <w:r w:rsidR="00CB2BBE" w:rsidRPr="00C10683">
        <w:rPr>
          <w:rFonts w:ascii="Times New Roman" w:hAnsi="Times New Roman" w:cs="Times New Roman"/>
          <w:i/>
          <w:iCs/>
          <w:sz w:val="24"/>
          <w:szCs w:val="24"/>
        </w:rPr>
        <w:t>Nutrients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9</w:t>
      </w:r>
      <w:r w:rsidR="00CB2BBE" w:rsidRPr="00C10683">
        <w:rPr>
          <w:rFonts w:ascii="Times New Roman" w:hAnsi="Times New Roman" w:cs="Times New Roman"/>
          <w:sz w:val="24"/>
          <w:szCs w:val="24"/>
        </w:rPr>
        <w:t>(10), 1158. https://doi.org/10.3390/nu9101158</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75. </w:t>
      </w:r>
      <w:r w:rsidR="00CB2BBE" w:rsidRPr="00C10683">
        <w:rPr>
          <w:rFonts w:ascii="Times New Roman" w:hAnsi="Times New Roman" w:cs="Times New Roman"/>
          <w:sz w:val="24"/>
          <w:szCs w:val="24"/>
        </w:rPr>
        <w:t xml:space="preserve">Singh, R., Kaur, N., Kishore, L., &amp; Kumar Gupta, G. (2013). Management of diabetic complications: A chemical constituents based approach. </w:t>
      </w:r>
      <w:r w:rsidR="00CB2BBE" w:rsidRPr="00C10683">
        <w:rPr>
          <w:rFonts w:ascii="Times New Roman" w:hAnsi="Times New Roman" w:cs="Times New Roman"/>
          <w:i/>
          <w:iCs/>
          <w:sz w:val="24"/>
          <w:szCs w:val="24"/>
        </w:rPr>
        <w:t>Journal of Ethnopharmacology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150</w:t>
      </w:r>
      <w:r w:rsidR="00CB2BBE" w:rsidRPr="00C10683">
        <w:rPr>
          <w:rFonts w:ascii="Times New Roman" w:hAnsi="Times New Roman" w:cs="Times New Roman"/>
          <w:sz w:val="24"/>
          <w:szCs w:val="24"/>
        </w:rPr>
        <w:t>(1), 51–70. https://doi.org/10.1016/j.jep.2013.08.051</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76. </w:t>
      </w:r>
      <w:r w:rsidR="00CB2BBE" w:rsidRPr="00C10683">
        <w:rPr>
          <w:rFonts w:ascii="Times New Roman" w:hAnsi="Times New Roman" w:cs="Times New Roman"/>
          <w:sz w:val="24"/>
          <w:szCs w:val="24"/>
        </w:rPr>
        <w:t xml:space="preserve">Sojeetra, N. H., Buha, M. M., &amp; Acharya, Rabinarayan. (2019). </w:t>
      </w:r>
      <w:r w:rsidR="00CB2BBE" w:rsidRPr="00C10683">
        <w:rPr>
          <w:rFonts w:ascii="Times New Roman" w:hAnsi="Times New Roman" w:cs="Times New Roman"/>
          <w:i/>
          <w:iCs/>
          <w:sz w:val="24"/>
          <w:szCs w:val="24"/>
        </w:rPr>
        <w:t>Haridra (Curcuma longa linn.) Depiction in Ayurvedic and Indian Alchemy (Rasashastra) Literature: A Classical Memoir</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Annals of Ayurvedic Medicine Vol-8</w:t>
      </w:r>
      <w:r w:rsidR="00CB2BBE" w:rsidRPr="00C10683">
        <w:rPr>
          <w:rFonts w:ascii="Times New Roman" w:hAnsi="Times New Roman" w:cs="Times New Roman"/>
          <w:sz w:val="24"/>
          <w:szCs w:val="24"/>
        </w:rPr>
        <w:t>. https://www.bibliomed.org/mnsfulltext/70/70-1528824990.pdf?1717572061</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77. </w:t>
      </w:r>
      <w:r w:rsidR="00CB2BBE" w:rsidRPr="00C10683">
        <w:rPr>
          <w:rFonts w:ascii="Times New Roman" w:hAnsi="Times New Roman" w:cs="Times New Roman"/>
          <w:sz w:val="24"/>
          <w:szCs w:val="24"/>
        </w:rPr>
        <w:t xml:space="preserve">Sridharan, K., Mohan, R., Ramaratnam, S., &amp; Panneerselvam, D. (2011). Ayurvedic treatments for diabetes mellitus. </w:t>
      </w:r>
      <w:r w:rsidR="00CB2BBE" w:rsidRPr="00C10683">
        <w:rPr>
          <w:rFonts w:ascii="Times New Roman" w:hAnsi="Times New Roman" w:cs="Times New Roman"/>
          <w:i/>
          <w:iCs/>
          <w:sz w:val="24"/>
          <w:szCs w:val="24"/>
        </w:rPr>
        <w:t>Cochrane Database of Systematic Reviews</w:t>
      </w:r>
      <w:r w:rsidR="00CB2BBE" w:rsidRPr="00C10683">
        <w:rPr>
          <w:rFonts w:ascii="Times New Roman" w:hAnsi="Times New Roman" w:cs="Times New Roman"/>
          <w:sz w:val="24"/>
          <w:szCs w:val="24"/>
        </w:rPr>
        <w:t>. https://doi.org/10.1002/14651858.CD008288.pub2</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78. </w:t>
      </w:r>
      <w:r w:rsidR="00CB2BBE" w:rsidRPr="00C10683">
        <w:rPr>
          <w:rFonts w:ascii="Times New Roman" w:hAnsi="Times New Roman" w:cs="Times New Roman"/>
          <w:sz w:val="24"/>
          <w:szCs w:val="24"/>
        </w:rPr>
        <w:t xml:space="preserve">Tachtsis, B., Whitfield, J., Hawley, J. A., &amp; Hoffman, N. J. (2020). Omega-3 Polyunsaturated Fatty Acids Mitigate Palmitate-Induced Impairments in Skeletal Muscle Cell Viability and Differentiation. </w:t>
      </w:r>
      <w:r w:rsidR="00CB2BBE" w:rsidRPr="00C10683">
        <w:rPr>
          <w:rFonts w:ascii="Times New Roman" w:hAnsi="Times New Roman" w:cs="Times New Roman"/>
          <w:i/>
          <w:iCs/>
          <w:sz w:val="24"/>
          <w:szCs w:val="24"/>
        </w:rPr>
        <w:t>Frontiers in Physiology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11</w:t>
      </w:r>
      <w:r w:rsidR="00CB2BBE" w:rsidRPr="00C10683">
        <w:rPr>
          <w:rFonts w:ascii="Times New Roman" w:hAnsi="Times New Roman" w:cs="Times New Roman"/>
          <w:sz w:val="24"/>
          <w:szCs w:val="24"/>
        </w:rPr>
        <w:t>, 563. https://doi.org/10.3389/fphys.2020.00563</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79. </w:t>
      </w:r>
      <w:r w:rsidR="00CB2BBE" w:rsidRPr="00C10683">
        <w:rPr>
          <w:rFonts w:ascii="Times New Roman" w:hAnsi="Times New Roman" w:cs="Times New Roman"/>
          <w:sz w:val="24"/>
          <w:szCs w:val="24"/>
        </w:rPr>
        <w:t xml:space="preserve">Takaeidi, M. R., Jahangiri, A., Khodayar, M. J., Siahpoosh, A., Yaghooti, H., Rezaei, S., Salecheh, M., &amp; Mansourzadeh, Z. (2014). The Effect of Date Seed (Phoenix dactylifera) Extract on Paraoxonase and Arylesterase Activities in Hypercholesterolemic Rats. </w:t>
      </w:r>
      <w:r w:rsidR="00CB2BBE" w:rsidRPr="00C10683">
        <w:rPr>
          <w:rFonts w:ascii="Times New Roman" w:hAnsi="Times New Roman" w:cs="Times New Roman"/>
          <w:i/>
          <w:iCs/>
          <w:sz w:val="24"/>
          <w:szCs w:val="24"/>
        </w:rPr>
        <w:t>Jundishapur Journal of Natural Pharmaceutical Products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9</w:t>
      </w:r>
      <w:r w:rsidR="00CB2BBE" w:rsidRPr="00C10683">
        <w:rPr>
          <w:rFonts w:ascii="Times New Roman" w:hAnsi="Times New Roman" w:cs="Times New Roman"/>
          <w:sz w:val="24"/>
          <w:szCs w:val="24"/>
        </w:rPr>
        <w:t>(1), 30–34. https://doi.org/10.17795/jjnpp-10368</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80. </w:t>
      </w:r>
      <w:r w:rsidR="00CB2BBE" w:rsidRPr="00C10683">
        <w:rPr>
          <w:rFonts w:ascii="Times New Roman" w:hAnsi="Times New Roman" w:cs="Times New Roman"/>
          <w:sz w:val="24"/>
          <w:szCs w:val="24"/>
        </w:rPr>
        <w:t xml:space="preserve">Tang, D., Chen, M., Huang, X., Zhang, G., Zeng, L., Zhang, G., Wu, S., &amp; Wang, Y. (2023). SRplot: A free online platform for data visualization and graphing. </w:t>
      </w:r>
      <w:r w:rsidR="00CB2BBE" w:rsidRPr="00C10683">
        <w:rPr>
          <w:rFonts w:ascii="Times New Roman" w:hAnsi="Times New Roman" w:cs="Times New Roman"/>
          <w:i/>
          <w:iCs/>
          <w:sz w:val="24"/>
          <w:szCs w:val="24"/>
        </w:rPr>
        <w:t>PLOS ONE</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18</w:t>
      </w:r>
      <w:r w:rsidR="00CB2BBE" w:rsidRPr="00C10683">
        <w:rPr>
          <w:rFonts w:ascii="Times New Roman" w:hAnsi="Times New Roman" w:cs="Times New Roman"/>
          <w:sz w:val="24"/>
          <w:szCs w:val="24"/>
        </w:rPr>
        <w:t>(11), e0294236. https://doi.org/10.1371/journal.pone.0294236</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81. </w:t>
      </w:r>
      <w:r w:rsidR="00CB2BBE" w:rsidRPr="00C10683">
        <w:rPr>
          <w:rFonts w:ascii="Times New Roman" w:hAnsi="Times New Roman" w:cs="Times New Roman"/>
          <w:sz w:val="24"/>
          <w:szCs w:val="24"/>
        </w:rPr>
        <w:t xml:space="preserve">Thottappillil, A., Sahoo, S., Chakraborty, A., Kouser, S., Ravi, V., Garawadmath, S., Banvi, P., Kukkupuni, S. K., Mohan, S. S., &amp; Vishnuprasad, C. N. (2023). </w:t>
      </w:r>
      <w:r w:rsidR="00CB2BBE" w:rsidRPr="00C10683">
        <w:rPr>
          <w:rFonts w:ascii="Times New Roman" w:hAnsi="Times New Roman" w:cs="Times New Roman"/>
          <w:i/>
          <w:iCs/>
          <w:sz w:val="24"/>
          <w:szCs w:val="24"/>
        </w:rPr>
        <w:t>In vitro</w:t>
      </w:r>
      <w:r w:rsidR="00CB2BBE" w:rsidRPr="00C10683">
        <w:rPr>
          <w:rFonts w:ascii="Times New Roman" w:hAnsi="Times New Roman" w:cs="Times New Roman"/>
          <w:sz w:val="24"/>
          <w:szCs w:val="24"/>
        </w:rPr>
        <w:t xml:space="preserve"> and </w:t>
      </w:r>
      <w:r w:rsidR="00CB2BBE" w:rsidRPr="00C10683">
        <w:rPr>
          <w:rFonts w:ascii="Times New Roman" w:hAnsi="Times New Roman" w:cs="Times New Roman"/>
          <w:i/>
          <w:iCs/>
          <w:sz w:val="24"/>
          <w:szCs w:val="24"/>
        </w:rPr>
        <w:t>in silico</w:t>
      </w:r>
      <w:r w:rsidR="00CB2BBE" w:rsidRPr="00C10683">
        <w:rPr>
          <w:rFonts w:ascii="Times New Roman" w:hAnsi="Times New Roman" w:cs="Times New Roman"/>
          <w:sz w:val="24"/>
          <w:szCs w:val="24"/>
        </w:rPr>
        <w:t xml:space="preserve"> analysis proving DPP4 inhibition and diabetes-associated gene network modulation by a polyherbal formulation: </w:t>
      </w:r>
      <w:r w:rsidR="00CB2BBE" w:rsidRPr="00C10683">
        <w:rPr>
          <w:rFonts w:ascii="Times New Roman" w:hAnsi="Times New Roman" w:cs="Times New Roman"/>
          <w:i/>
          <w:iCs/>
          <w:sz w:val="24"/>
          <w:szCs w:val="24"/>
        </w:rPr>
        <w:t>Nisakathakadi Kashaya</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Journal of Biomolecular Structure and Dynamics</w:t>
      </w:r>
      <w:r w:rsidR="00CB2BBE" w:rsidRPr="00C10683">
        <w:rPr>
          <w:rFonts w:ascii="Times New Roman" w:hAnsi="Times New Roman" w:cs="Times New Roman"/>
          <w:sz w:val="24"/>
          <w:szCs w:val="24"/>
        </w:rPr>
        <w:t>, 1–15. https://doi.org/10.1080/07391102.2023.2276880</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82. </w:t>
      </w:r>
      <w:r w:rsidR="00CB2BBE" w:rsidRPr="00C10683">
        <w:rPr>
          <w:rFonts w:ascii="Times New Roman" w:hAnsi="Times New Roman" w:cs="Times New Roman"/>
          <w:sz w:val="24"/>
          <w:szCs w:val="24"/>
        </w:rPr>
        <w:t xml:space="preserve">Tsioufis, C., Bafakis, I., Kasiakogias, A., &amp; Stefanadis, C. (2012). The Role of Matrix Metalloproteinases in Diabetes Mellitus. </w:t>
      </w:r>
      <w:r w:rsidR="00CB2BBE" w:rsidRPr="00C10683">
        <w:rPr>
          <w:rFonts w:ascii="Times New Roman" w:hAnsi="Times New Roman" w:cs="Times New Roman"/>
          <w:i/>
          <w:iCs/>
          <w:sz w:val="24"/>
          <w:szCs w:val="24"/>
        </w:rPr>
        <w:t>Current Topics in Medicinal Chemistry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12</w:t>
      </w:r>
      <w:r w:rsidR="00CB2BBE" w:rsidRPr="00C10683">
        <w:rPr>
          <w:rFonts w:ascii="Times New Roman" w:hAnsi="Times New Roman" w:cs="Times New Roman"/>
          <w:sz w:val="24"/>
          <w:szCs w:val="24"/>
        </w:rPr>
        <w:t>(10), 1159–1165. https://doi.org/10.2174/1568026611208011159</w:t>
      </w:r>
    </w:p>
    <w:p w:rsidR="00CB2BBE" w:rsidRPr="00C10683" w:rsidRDefault="00422175"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83. </w:t>
      </w:r>
      <w:r w:rsidR="00CB2BBE" w:rsidRPr="00C10683">
        <w:rPr>
          <w:rFonts w:ascii="Times New Roman" w:hAnsi="Times New Roman" w:cs="Times New Roman"/>
          <w:sz w:val="24"/>
          <w:szCs w:val="24"/>
        </w:rPr>
        <w:t xml:space="preserve">Uemura, S., Matsushita, H., Li, W., Glassford, A. J., Asagami, T., Lee, K.-H., Harrison, D. G., &amp; Tsao, P. S. (2001). Diabetes Mellitus Enhances Vascular Matrix Metalloproteinase </w:t>
      </w:r>
      <w:r w:rsidR="00E05836" w:rsidRPr="00C10683">
        <w:rPr>
          <w:rFonts w:ascii="Times New Roman" w:hAnsi="Times New Roman" w:cs="Times New Roman"/>
          <w:b/>
          <w:sz w:val="24"/>
          <w:szCs w:val="24"/>
        </w:rPr>
        <w:t xml:space="preserve">84. </w:t>
      </w:r>
      <w:r w:rsidR="00CB2BBE" w:rsidRPr="00C10683">
        <w:rPr>
          <w:rFonts w:ascii="Times New Roman" w:hAnsi="Times New Roman" w:cs="Times New Roman"/>
          <w:sz w:val="24"/>
          <w:szCs w:val="24"/>
        </w:rPr>
        <w:t xml:space="preserve">Activity: Role of Oxidative Stress. </w:t>
      </w:r>
      <w:r w:rsidR="00CB2BBE" w:rsidRPr="00C10683">
        <w:rPr>
          <w:rFonts w:ascii="Times New Roman" w:hAnsi="Times New Roman" w:cs="Times New Roman"/>
          <w:i/>
          <w:iCs/>
          <w:sz w:val="24"/>
          <w:szCs w:val="24"/>
        </w:rPr>
        <w:t>Circulation Research</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88</w:t>
      </w:r>
      <w:r w:rsidR="00CB2BBE" w:rsidRPr="00C10683">
        <w:rPr>
          <w:rFonts w:ascii="Times New Roman" w:hAnsi="Times New Roman" w:cs="Times New Roman"/>
          <w:sz w:val="24"/>
          <w:szCs w:val="24"/>
        </w:rPr>
        <w:t>(12), 1291–1298. https://doi.org/10.1161/hh1201.092042</w:t>
      </w:r>
    </w:p>
    <w:p w:rsidR="00CB2BBE" w:rsidRPr="00C10683" w:rsidRDefault="00E05836"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85. </w:t>
      </w:r>
      <w:r w:rsidR="00CB2BBE" w:rsidRPr="00C10683">
        <w:rPr>
          <w:rFonts w:ascii="Times New Roman" w:hAnsi="Times New Roman" w:cs="Times New Roman"/>
          <w:sz w:val="24"/>
          <w:szCs w:val="24"/>
        </w:rPr>
        <w:t xml:space="preserve">Verma, R. P., &amp; Hansch, C. (2007). Matrix metalloproteinases (MMPs): Chemical–biological functions and (Q)SARs. </w:t>
      </w:r>
      <w:r w:rsidR="00CB2BBE" w:rsidRPr="00C10683">
        <w:rPr>
          <w:rFonts w:ascii="Times New Roman" w:hAnsi="Times New Roman" w:cs="Times New Roman"/>
          <w:i/>
          <w:iCs/>
          <w:sz w:val="24"/>
          <w:szCs w:val="24"/>
        </w:rPr>
        <w:t>Bioorganic &amp; Medicinal Chemistry</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15</w:t>
      </w:r>
      <w:r w:rsidR="00CB2BBE" w:rsidRPr="00C10683">
        <w:rPr>
          <w:rFonts w:ascii="Times New Roman" w:hAnsi="Times New Roman" w:cs="Times New Roman"/>
          <w:sz w:val="24"/>
          <w:szCs w:val="24"/>
        </w:rPr>
        <w:t>(6), 2223–2268. https://doi.org/10.1016/j.bmc.2007.01.011</w:t>
      </w:r>
    </w:p>
    <w:p w:rsidR="00CB2BBE" w:rsidRPr="00C10683" w:rsidRDefault="00E05836"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86. </w:t>
      </w:r>
      <w:r w:rsidR="00CB2BBE" w:rsidRPr="00C10683">
        <w:rPr>
          <w:rFonts w:ascii="Times New Roman" w:hAnsi="Times New Roman" w:cs="Times New Roman"/>
          <w:sz w:val="24"/>
          <w:szCs w:val="24"/>
        </w:rPr>
        <w:t xml:space="preserve">Vishnu P.M, &amp; Sripathi A. (2017). </w:t>
      </w:r>
      <w:r w:rsidR="00CB2BBE" w:rsidRPr="00C10683">
        <w:rPr>
          <w:rFonts w:ascii="Times New Roman" w:hAnsi="Times New Roman" w:cs="Times New Roman"/>
          <w:i/>
          <w:iCs/>
          <w:sz w:val="24"/>
          <w:szCs w:val="24"/>
        </w:rPr>
        <w:t>Varanadi kashaya in the management of sthaulya (Obesity)-A clinical trial</w:t>
      </w:r>
      <w:r w:rsidR="00CB2BBE" w:rsidRPr="00C10683">
        <w:rPr>
          <w:rFonts w:ascii="Times New Roman" w:hAnsi="Times New Roman" w:cs="Times New Roman"/>
          <w:sz w:val="24"/>
          <w:szCs w:val="24"/>
        </w:rPr>
        <w:t>.</w:t>
      </w:r>
    </w:p>
    <w:p w:rsidR="00CB2BBE" w:rsidRPr="00C10683" w:rsidRDefault="00E05836"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lastRenderedPageBreak/>
        <w:t xml:space="preserve">87. </w:t>
      </w:r>
      <w:r w:rsidR="00CB2BBE" w:rsidRPr="00C10683">
        <w:rPr>
          <w:rFonts w:ascii="Times New Roman" w:hAnsi="Times New Roman" w:cs="Times New Roman"/>
          <w:sz w:val="24"/>
          <w:szCs w:val="24"/>
        </w:rPr>
        <w:t xml:space="preserve">Wang, H.-L., Wang, L., Zhao, C.-Y., &amp; Lan, H.-Y. (2022). Role of TGF-Beta Signaling in Beta Cell Proliferation and Function in Diabetes. </w:t>
      </w:r>
      <w:r w:rsidR="00CB2BBE" w:rsidRPr="00C10683">
        <w:rPr>
          <w:rFonts w:ascii="Times New Roman" w:hAnsi="Times New Roman" w:cs="Times New Roman"/>
          <w:i/>
          <w:iCs/>
          <w:sz w:val="24"/>
          <w:szCs w:val="24"/>
        </w:rPr>
        <w:t>Biomolecules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12</w:t>
      </w:r>
      <w:r w:rsidR="00CB2BBE" w:rsidRPr="00C10683">
        <w:rPr>
          <w:rFonts w:ascii="Times New Roman" w:hAnsi="Times New Roman" w:cs="Times New Roman"/>
          <w:sz w:val="24"/>
          <w:szCs w:val="24"/>
        </w:rPr>
        <w:t>(3), 373. https://doi.org/10.3390/biom12030373</w:t>
      </w:r>
    </w:p>
    <w:p w:rsidR="00CB2BBE" w:rsidRPr="00C10683" w:rsidRDefault="00E05836"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88. </w:t>
      </w:r>
      <w:r w:rsidR="00CB2BBE" w:rsidRPr="00C10683">
        <w:rPr>
          <w:rFonts w:ascii="Times New Roman" w:hAnsi="Times New Roman" w:cs="Times New Roman"/>
          <w:sz w:val="24"/>
          <w:szCs w:val="24"/>
        </w:rPr>
        <w:t xml:space="preserve">Yadav, K., Kadam, P., Patel, J., &amp; Patil, M. (2014). Strychnos potatorum: Phytochemical and pharmacological review. </w:t>
      </w:r>
      <w:r w:rsidR="00CB2BBE" w:rsidRPr="00C10683">
        <w:rPr>
          <w:rFonts w:ascii="Times New Roman" w:hAnsi="Times New Roman" w:cs="Times New Roman"/>
          <w:i/>
          <w:iCs/>
          <w:sz w:val="24"/>
          <w:szCs w:val="24"/>
        </w:rPr>
        <w:t>Pharmacognosy Reviews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8</w:t>
      </w:r>
      <w:r w:rsidR="00CB2BBE" w:rsidRPr="00C10683">
        <w:rPr>
          <w:rFonts w:ascii="Times New Roman" w:hAnsi="Times New Roman" w:cs="Times New Roman"/>
          <w:sz w:val="24"/>
          <w:szCs w:val="24"/>
        </w:rPr>
        <w:t>(15), 61. https://doi.org/10.4103/0973-7847.125533</w:t>
      </w:r>
    </w:p>
    <w:p w:rsidR="00CB2BBE" w:rsidRPr="00C10683" w:rsidRDefault="00E05836"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89. </w:t>
      </w:r>
      <w:r w:rsidR="00CB2BBE" w:rsidRPr="00C10683">
        <w:rPr>
          <w:rFonts w:ascii="Times New Roman" w:hAnsi="Times New Roman" w:cs="Times New Roman"/>
          <w:sz w:val="24"/>
          <w:szCs w:val="24"/>
        </w:rPr>
        <w:t xml:space="preserve">Zhang, P., Gao, J., Pu, C., &amp; Zhang, Y. (2017). Apolipoprotein status in type 2 diabetes mellitus and its complications. </w:t>
      </w:r>
      <w:r w:rsidR="00CB2BBE" w:rsidRPr="00C10683">
        <w:rPr>
          <w:rFonts w:ascii="Times New Roman" w:hAnsi="Times New Roman" w:cs="Times New Roman"/>
          <w:i/>
          <w:iCs/>
          <w:sz w:val="24"/>
          <w:szCs w:val="24"/>
        </w:rPr>
        <w:t>Molecular Medicine Reports</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16</w:t>
      </w:r>
      <w:r w:rsidR="00CB2BBE" w:rsidRPr="00C10683">
        <w:rPr>
          <w:rFonts w:ascii="Times New Roman" w:hAnsi="Times New Roman" w:cs="Times New Roman"/>
          <w:sz w:val="24"/>
          <w:szCs w:val="24"/>
        </w:rPr>
        <w:t>(6), 9279–9286. https://doi.org/10.3892/mmr.2017.7831</w:t>
      </w:r>
    </w:p>
    <w:p w:rsidR="00CB2BBE" w:rsidRPr="00C10683" w:rsidRDefault="00E05836" w:rsidP="00C10683">
      <w:pPr>
        <w:pStyle w:val="Bibliography"/>
        <w:jc w:val="both"/>
        <w:rPr>
          <w:rFonts w:ascii="Times New Roman" w:hAnsi="Times New Roman" w:cs="Times New Roman"/>
          <w:sz w:val="24"/>
          <w:szCs w:val="24"/>
        </w:rPr>
      </w:pPr>
      <w:r w:rsidRPr="00C10683">
        <w:rPr>
          <w:rFonts w:ascii="Times New Roman" w:hAnsi="Times New Roman" w:cs="Times New Roman"/>
          <w:b/>
          <w:sz w:val="24"/>
          <w:szCs w:val="24"/>
        </w:rPr>
        <w:t xml:space="preserve">90. </w:t>
      </w:r>
      <w:r w:rsidR="00CB2BBE" w:rsidRPr="00C10683">
        <w:rPr>
          <w:rFonts w:ascii="Times New Roman" w:hAnsi="Times New Roman" w:cs="Times New Roman"/>
          <w:sz w:val="24"/>
          <w:szCs w:val="24"/>
        </w:rPr>
        <w:t xml:space="preserve">Zhou, B., Lu, Y., Hajifathalian, K., Bentham, J., Di Cesare, M., Danaei, G., Bixby, H., Cowan, M., Ali, M., Taddei, C., Lo, W., Reis-Santos, B., Stevens, G., Riley, L., Miranda, J., Bjerregaard, P., Rivera, J., Fouad, H., Ma, G., … Zuñiga Cisneros, J. (2016). Worldwide trends in diabetes since 1980: A pooled analysis of 751 population-based studies with 4·4 million participants. </w:t>
      </w:r>
      <w:r w:rsidR="00CB2BBE" w:rsidRPr="00C10683">
        <w:rPr>
          <w:rFonts w:ascii="Times New Roman" w:hAnsi="Times New Roman" w:cs="Times New Roman"/>
          <w:i/>
          <w:iCs/>
          <w:sz w:val="24"/>
          <w:szCs w:val="24"/>
        </w:rPr>
        <w:t>The Lancet</w:t>
      </w:r>
      <w:r w:rsidR="00CB2BBE" w:rsidRPr="00C10683">
        <w:rPr>
          <w:rFonts w:ascii="Times New Roman" w:hAnsi="Times New Roman" w:cs="Times New Roman"/>
          <w:sz w:val="24"/>
          <w:szCs w:val="24"/>
        </w:rPr>
        <w:t xml:space="preserve">, </w:t>
      </w:r>
      <w:r w:rsidR="00CB2BBE" w:rsidRPr="00C10683">
        <w:rPr>
          <w:rFonts w:ascii="Times New Roman" w:hAnsi="Times New Roman" w:cs="Times New Roman"/>
          <w:i/>
          <w:iCs/>
          <w:sz w:val="24"/>
          <w:szCs w:val="24"/>
        </w:rPr>
        <w:t>387</w:t>
      </w:r>
      <w:r w:rsidR="00CB2BBE" w:rsidRPr="00C10683">
        <w:rPr>
          <w:rFonts w:ascii="Times New Roman" w:hAnsi="Times New Roman" w:cs="Times New Roman"/>
          <w:sz w:val="24"/>
          <w:szCs w:val="24"/>
        </w:rPr>
        <w:t>(10027), 1513–1530. https://doi.org/10.1016/S0140-6736(16)00618-8</w:t>
      </w: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883F22" w:rsidRPr="00C10683" w:rsidRDefault="00883F22" w:rsidP="00C10683">
      <w:pPr>
        <w:jc w:val="both"/>
        <w:rPr>
          <w:rFonts w:ascii="Times New Roman" w:hAnsi="Times New Roman" w:cs="Times New Roman"/>
          <w:sz w:val="24"/>
          <w:szCs w:val="24"/>
        </w:rPr>
      </w:pPr>
    </w:p>
    <w:p w:rsidR="00C10683" w:rsidRDefault="00C10683" w:rsidP="00C10683">
      <w:pPr>
        <w:jc w:val="both"/>
        <w:rPr>
          <w:rFonts w:ascii="Times New Roman" w:hAnsi="Times New Roman" w:cs="Times New Roman"/>
          <w:b/>
          <w:sz w:val="24"/>
          <w:szCs w:val="24"/>
        </w:rPr>
      </w:pPr>
    </w:p>
    <w:p w:rsidR="00C10683" w:rsidRDefault="00C10683" w:rsidP="00C10683">
      <w:pPr>
        <w:jc w:val="both"/>
        <w:rPr>
          <w:rFonts w:ascii="Times New Roman" w:hAnsi="Times New Roman" w:cs="Times New Roman"/>
          <w:b/>
          <w:sz w:val="24"/>
          <w:szCs w:val="24"/>
        </w:rPr>
      </w:pPr>
    </w:p>
    <w:p w:rsidR="00C10683" w:rsidRDefault="00C10683" w:rsidP="00C10683">
      <w:pPr>
        <w:jc w:val="both"/>
        <w:rPr>
          <w:rFonts w:ascii="Times New Roman" w:hAnsi="Times New Roman" w:cs="Times New Roman"/>
          <w:b/>
          <w:sz w:val="24"/>
          <w:szCs w:val="24"/>
        </w:rPr>
      </w:pPr>
    </w:p>
    <w:p w:rsidR="004912F4" w:rsidRDefault="004912F4" w:rsidP="004912F4">
      <w:pPr>
        <w:pStyle w:val="Heading1"/>
      </w:pPr>
    </w:p>
    <w:p w:rsidR="00C10683" w:rsidRPr="00C10683" w:rsidRDefault="00C10683" w:rsidP="004912F4">
      <w:pPr>
        <w:pStyle w:val="Heading1"/>
      </w:pPr>
      <w:bookmarkStart w:id="74" w:name="_Toc171420594"/>
      <w:r w:rsidRPr="00C10683">
        <w:t>APPENDIX</w:t>
      </w:r>
      <w:bookmarkEnd w:id="74"/>
    </w:p>
    <w:p w:rsidR="00C45005" w:rsidRPr="00C10683" w:rsidRDefault="00C45005" w:rsidP="004912F4">
      <w:pPr>
        <w:pStyle w:val="Heading2"/>
      </w:pPr>
      <w:bookmarkStart w:id="75" w:name="_Toc171420595"/>
      <w:r w:rsidRPr="00C10683">
        <w:t>PROGRESS REPORT 1</w:t>
      </w:r>
      <w:bookmarkEnd w:id="75"/>
    </w:p>
    <w:p w:rsidR="00C45005" w:rsidRPr="00C10683" w:rsidRDefault="00C45005" w:rsidP="00C10683">
      <w:pPr>
        <w:spacing w:after="52" w:line="360" w:lineRule="auto"/>
        <w:ind w:left="-5"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Title</w:t>
      </w:r>
    </w:p>
    <w:p w:rsidR="00C45005" w:rsidRPr="00C10683" w:rsidRDefault="00C45005" w:rsidP="00C10683">
      <w:pPr>
        <w:spacing w:after="295" w:line="360" w:lineRule="auto"/>
        <w:ind w:firstLine="713"/>
        <w:jc w:val="both"/>
        <w:rPr>
          <w:rFonts w:ascii="Times New Roman" w:hAnsi="Times New Roman" w:cs="Times New Roman"/>
          <w:sz w:val="24"/>
          <w:szCs w:val="24"/>
        </w:rPr>
      </w:pPr>
      <w:r w:rsidRPr="00C10683">
        <w:rPr>
          <w:rFonts w:ascii="Times New Roman" w:hAnsi="Times New Roman" w:cs="Times New Roman"/>
          <w:sz w:val="24"/>
          <w:szCs w:val="24"/>
        </w:rPr>
        <w:t xml:space="preserve">Comparative Analysis of Mechanism of Anti-diabetic action of </w:t>
      </w:r>
      <w:r w:rsidRPr="00C10683">
        <w:rPr>
          <w:rFonts w:ascii="Times New Roman" w:eastAsia="Arial" w:hAnsi="Times New Roman" w:cs="Times New Roman"/>
          <w:i/>
          <w:sz w:val="24"/>
          <w:szCs w:val="24"/>
        </w:rPr>
        <w:t xml:space="preserve">Nisakathakadi </w:t>
      </w:r>
      <w:r w:rsidRPr="00C10683">
        <w:rPr>
          <w:rFonts w:ascii="Times New Roman" w:hAnsi="Times New Roman" w:cs="Times New Roman"/>
          <w:sz w:val="24"/>
          <w:szCs w:val="24"/>
        </w:rPr>
        <w:t xml:space="preserve">and </w:t>
      </w:r>
      <w:r w:rsidRPr="00C10683">
        <w:rPr>
          <w:rFonts w:ascii="Times New Roman" w:eastAsia="Arial" w:hAnsi="Times New Roman" w:cs="Times New Roman"/>
          <w:i/>
          <w:sz w:val="24"/>
          <w:szCs w:val="24"/>
        </w:rPr>
        <w:t>Varanadi</w:t>
      </w:r>
    </w:p>
    <w:p w:rsidR="00C45005" w:rsidRPr="00C10683" w:rsidRDefault="0009727A" w:rsidP="00C10683">
      <w:pPr>
        <w:spacing w:after="296" w:line="240" w:lineRule="auto"/>
        <w:ind w:left="-5" w:hanging="10"/>
        <w:jc w:val="both"/>
        <w:rPr>
          <w:rFonts w:ascii="Times New Roman" w:hAnsi="Times New Roman" w:cs="Times New Roman"/>
          <w:sz w:val="24"/>
          <w:szCs w:val="24"/>
        </w:rPr>
      </w:pPr>
      <w:r>
        <w:rPr>
          <w:rFonts w:ascii="Times New Roman" w:eastAsia="Arial" w:hAnsi="Times New Roman" w:cs="Times New Roman"/>
          <w:b/>
          <w:sz w:val="24"/>
          <w:szCs w:val="24"/>
        </w:rPr>
        <w:t>O</w:t>
      </w:r>
      <w:r w:rsidR="00C45005" w:rsidRPr="00C10683">
        <w:rPr>
          <w:rFonts w:ascii="Times New Roman" w:eastAsia="Arial" w:hAnsi="Times New Roman" w:cs="Times New Roman"/>
          <w:b/>
          <w:sz w:val="24"/>
          <w:szCs w:val="24"/>
        </w:rPr>
        <w:t>bjectives of your project</w:t>
      </w:r>
    </w:p>
    <w:p w:rsidR="00C45005" w:rsidRPr="00C10683" w:rsidRDefault="00C45005" w:rsidP="00C10683">
      <w:pPr>
        <w:numPr>
          <w:ilvl w:val="0"/>
          <w:numId w:val="32"/>
        </w:numPr>
        <w:spacing w:after="9" w:line="360" w:lineRule="auto"/>
        <w:ind w:hanging="438"/>
        <w:jc w:val="both"/>
        <w:rPr>
          <w:rFonts w:ascii="Times New Roman" w:hAnsi="Times New Roman" w:cs="Times New Roman"/>
          <w:sz w:val="24"/>
          <w:szCs w:val="24"/>
        </w:rPr>
      </w:pPr>
      <w:r w:rsidRPr="00C10683">
        <w:rPr>
          <w:rFonts w:ascii="Times New Roman" w:hAnsi="Times New Roman" w:cs="Times New Roman"/>
          <w:sz w:val="24"/>
          <w:szCs w:val="24"/>
        </w:rPr>
        <w:t xml:space="preserve">Mapping of ayurvedic pharmacological actions of </w:t>
      </w:r>
      <w:r w:rsidRPr="00C10683">
        <w:rPr>
          <w:rFonts w:ascii="Times New Roman" w:eastAsia="Arial" w:hAnsi="Times New Roman" w:cs="Times New Roman"/>
          <w:i/>
          <w:sz w:val="24"/>
          <w:szCs w:val="24"/>
        </w:rPr>
        <w:t xml:space="preserve">Nisakathakadi </w:t>
      </w:r>
      <w:r w:rsidRPr="00C10683">
        <w:rPr>
          <w:rFonts w:ascii="Times New Roman" w:hAnsi="Times New Roman" w:cs="Times New Roman"/>
          <w:sz w:val="24"/>
          <w:szCs w:val="24"/>
        </w:rPr>
        <w:t xml:space="preserve">and </w:t>
      </w:r>
      <w:r w:rsidRPr="00C10683">
        <w:rPr>
          <w:rFonts w:ascii="Times New Roman" w:eastAsia="Arial" w:hAnsi="Times New Roman" w:cs="Times New Roman"/>
          <w:i/>
          <w:sz w:val="24"/>
          <w:szCs w:val="24"/>
        </w:rPr>
        <w:t xml:space="preserve">Varanadi kashayam </w:t>
      </w:r>
      <w:r w:rsidRPr="00C10683">
        <w:rPr>
          <w:rFonts w:ascii="Times New Roman" w:hAnsi="Times New Roman" w:cs="Times New Roman"/>
          <w:sz w:val="24"/>
          <w:szCs w:val="24"/>
        </w:rPr>
        <w:t>to diabetes-associated genes</w:t>
      </w:r>
    </w:p>
    <w:p w:rsidR="00C45005" w:rsidRPr="00C10683" w:rsidRDefault="00C45005" w:rsidP="00C10683">
      <w:pPr>
        <w:numPr>
          <w:ilvl w:val="0"/>
          <w:numId w:val="32"/>
        </w:numPr>
        <w:spacing w:after="238" w:line="360" w:lineRule="auto"/>
        <w:ind w:hanging="438"/>
        <w:jc w:val="both"/>
        <w:rPr>
          <w:rFonts w:ascii="Times New Roman" w:hAnsi="Times New Roman" w:cs="Times New Roman"/>
          <w:sz w:val="24"/>
          <w:szCs w:val="24"/>
        </w:rPr>
      </w:pPr>
      <w:r w:rsidRPr="00C10683">
        <w:rPr>
          <w:rFonts w:ascii="Times New Roman" w:hAnsi="Times New Roman" w:cs="Times New Roman"/>
          <w:sz w:val="24"/>
          <w:szCs w:val="24"/>
        </w:rPr>
        <w:t xml:space="preserve">Experimental validation of the diabetes associated genes in </w:t>
      </w:r>
      <w:r w:rsidRPr="00C10683">
        <w:rPr>
          <w:rFonts w:ascii="Times New Roman" w:eastAsia="Arial" w:hAnsi="Times New Roman" w:cs="Times New Roman"/>
          <w:i/>
          <w:sz w:val="24"/>
          <w:szCs w:val="24"/>
        </w:rPr>
        <w:t xml:space="preserve">Nisakathakadi and Varanadi </w:t>
      </w:r>
      <w:r w:rsidRPr="00C10683">
        <w:rPr>
          <w:rFonts w:ascii="Times New Roman" w:hAnsi="Times New Roman" w:cs="Times New Roman"/>
          <w:sz w:val="24"/>
          <w:szCs w:val="24"/>
        </w:rPr>
        <w:t>kashayam treated cell and tissue samples</w:t>
      </w:r>
    </w:p>
    <w:p w:rsidR="00C45005" w:rsidRPr="00C10683" w:rsidRDefault="00C45005" w:rsidP="00C10683">
      <w:pPr>
        <w:spacing w:after="52" w:line="360" w:lineRule="auto"/>
        <w:ind w:left="88" w:hanging="10"/>
        <w:jc w:val="both"/>
        <w:rPr>
          <w:rStyle w:val="NormalWebChar"/>
          <w:rFonts w:eastAsiaTheme="minorHAnsi"/>
        </w:rPr>
      </w:pPr>
      <w:r w:rsidRPr="00C10683">
        <w:rPr>
          <w:rFonts w:ascii="Times New Roman" w:eastAsia="Arial" w:hAnsi="Times New Roman" w:cs="Times New Roman"/>
          <w:b/>
          <w:sz w:val="24"/>
          <w:szCs w:val="24"/>
        </w:rPr>
        <w:t>Elaborate on the progress made in the objectives.</w:t>
      </w:r>
    </w:p>
    <w:p w:rsidR="00C45005" w:rsidRPr="00C10683" w:rsidRDefault="00C45005" w:rsidP="00C10683">
      <w:pPr>
        <w:spacing w:after="52" w:line="360" w:lineRule="auto"/>
        <w:ind w:left="88" w:hanging="10"/>
        <w:jc w:val="both"/>
        <w:rPr>
          <w:rFonts w:ascii="Times New Roman" w:hAnsi="Times New Roman" w:cs="Times New Roman"/>
          <w:sz w:val="24"/>
          <w:szCs w:val="24"/>
          <w:lang w:eastAsia="en-IN"/>
        </w:rPr>
      </w:pPr>
      <w:r w:rsidRPr="00C10683">
        <w:rPr>
          <w:rStyle w:val="NormalWebChar"/>
          <w:rFonts w:eastAsiaTheme="minorHAnsi"/>
        </w:rPr>
        <w:t>Listed out the biological functions of diabetes associated genes impacted by</w:t>
      </w:r>
      <w:r w:rsidRPr="00C10683">
        <w:rPr>
          <w:rFonts w:ascii="Times New Roman" w:eastAsia="Arial" w:hAnsi="Times New Roman" w:cs="Times New Roman"/>
          <w:i/>
          <w:sz w:val="24"/>
          <w:szCs w:val="24"/>
        </w:rPr>
        <w:t xml:space="preserve">Nishakathakadi and Varnadi </w:t>
      </w:r>
      <w:r w:rsidRPr="00C10683">
        <w:rPr>
          <w:rFonts w:ascii="Times New Roman" w:hAnsi="Times New Roman" w:cs="Times New Roman"/>
          <w:sz w:val="24"/>
          <w:szCs w:val="24"/>
        </w:rPr>
        <w:t>kashayam.</w:t>
      </w:r>
      <w:r w:rsidRPr="00C10683">
        <w:rPr>
          <w:rFonts w:ascii="Times New Roman" w:hAnsi="Times New Roman" w:cs="Times New Roman"/>
          <w:sz w:val="24"/>
          <w:szCs w:val="24"/>
          <w:lang w:eastAsia="en-IN"/>
        </w:rPr>
        <w:t xml:space="preserve"> </w:t>
      </w:r>
      <w:r w:rsidRPr="00C10683">
        <w:rPr>
          <w:rFonts w:ascii="Times New Roman" w:hAnsi="Times New Roman" w:cs="Times New Roman"/>
          <w:sz w:val="24"/>
          <w:szCs w:val="24"/>
        </w:rPr>
        <w:t>Listing out the genes which have impact by both kashayam and genes which have individual impact.Understanding the ayurveda pharmacological actions of each drug present in both the kashayam.Understanding why it is important to compare these both kashayam because clinically these both kashaya have different action, at molecular level difference has to be found out.</w:t>
      </w:r>
    </w:p>
    <w:p w:rsidR="00C45005" w:rsidRPr="00C10683" w:rsidRDefault="00C45005" w:rsidP="00C10683">
      <w:pPr>
        <w:spacing w:after="52" w:line="360" w:lineRule="auto"/>
        <w:ind w:left="88"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Skills learned</w:t>
      </w:r>
      <w:r w:rsidRPr="00C10683">
        <w:rPr>
          <w:rFonts w:ascii="Times New Roman" w:hAnsi="Times New Roman" w:cs="Times New Roman"/>
          <w:sz w:val="24"/>
          <w:szCs w:val="24"/>
        </w:rPr>
        <w:t xml:space="preserve"> : Handling cells, Cell splitting, Gallic acid estimation, TAG assay, Bradford experiment, RNA isolation.</w:t>
      </w:r>
    </w:p>
    <w:p w:rsidR="00C45005" w:rsidRPr="00C10683" w:rsidRDefault="00C45005" w:rsidP="00C10683">
      <w:pPr>
        <w:spacing w:after="52" w:line="360" w:lineRule="auto"/>
        <w:ind w:left="-5"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Challenges that you have faced while doing your work.</w:t>
      </w:r>
    </w:p>
    <w:p w:rsidR="00C45005" w:rsidRPr="00C10683" w:rsidRDefault="00C45005" w:rsidP="00C10683">
      <w:pPr>
        <w:spacing w:after="9" w:line="360" w:lineRule="auto"/>
        <w:jc w:val="both"/>
        <w:rPr>
          <w:rFonts w:ascii="Times New Roman" w:hAnsi="Times New Roman" w:cs="Times New Roman"/>
          <w:sz w:val="24"/>
          <w:szCs w:val="24"/>
        </w:rPr>
      </w:pPr>
      <w:r w:rsidRPr="00C10683">
        <w:rPr>
          <w:rFonts w:ascii="Times New Roman" w:hAnsi="Times New Roman" w:cs="Times New Roman"/>
          <w:sz w:val="24"/>
          <w:szCs w:val="24"/>
        </w:rPr>
        <w:t>For me calculations in the experiment was difficult but by repeated practice I improved. Collecting the information of properties of each drug of the respective kashayas from different references and putting them together. Understanding some</w:t>
      </w:r>
      <w:r w:rsidRPr="00C10683">
        <w:rPr>
          <w:rFonts w:ascii="Times New Roman" w:hAnsi="Times New Roman" w:cs="Times New Roman"/>
          <w:sz w:val="24"/>
          <w:szCs w:val="24"/>
        </w:rPr>
        <w:tab/>
        <w:t>functional terminologoies of gene</w:t>
      </w:r>
    </w:p>
    <w:p w:rsidR="00883F22" w:rsidRPr="00C10683" w:rsidRDefault="00883F22" w:rsidP="004912F4">
      <w:pPr>
        <w:pStyle w:val="Heading2"/>
      </w:pPr>
    </w:p>
    <w:p w:rsidR="00883F22" w:rsidRPr="00C10683" w:rsidRDefault="0009727A" w:rsidP="004912F4">
      <w:pPr>
        <w:pStyle w:val="Heading2"/>
      </w:pPr>
      <w:bookmarkStart w:id="76" w:name="_Toc171420596"/>
      <w:r>
        <w:rPr>
          <w:rFonts w:eastAsia="Arial"/>
        </w:rPr>
        <w:t>PROGRESS REPORT 2</w:t>
      </w:r>
      <w:bookmarkEnd w:id="76"/>
    </w:p>
    <w:p w:rsidR="00883F22" w:rsidRPr="00C10683" w:rsidRDefault="00883F22" w:rsidP="004912F4">
      <w:pPr>
        <w:pStyle w:val="Heading1"/>
      </w:pPr>
      <w:bookmarkStart w:id="77" w:name="_Toc171420597"/>
      <w:r w:rsidRPr="00C10683">
        <w:t>Title</w:t>
      </w:r>
      <w:bookmarkEnd w:id="77"/>
    </w:p>
    <w:p w:rsidR="00883F22" w:rsidRPr="00C10683" w:rsidRDefault="00883F22" w:rsidP="00C10683">
      <w:pPr>
        <w:spacing w:after="463"/>
        <w:ind w:firstLine="713"/>
        <w:jc w:val="both"/>
        <w:rPr>
          <w:rFonts w:ascii="Times New Roman" w:hAnsi="Times New Roman" w:cs="Times New Roman"/>
          <w:sz w:val="24"/>
          <w:szCs w:val="24"/>
        </w:rPr>
      </w:pPr>
      <w:r w:rsidRPr="00C10683">
        <w:rPr>
          <w:rFonts w:ascii="Times New Roman" w:hAnsi="Times New Roman" w:cs="Times New Roman"/>
          <w:sz w:val="24"/>
          <w:szCs w:val="24"/>
        </w:rPr>
        <w:t xml:space="preserve">Comparative Analysis of Mechanism of Anti-diabetic action of </w:t>
      </w:r>
      <w:r w:rsidRPr="00C10683">
        <w:rPr>
          <w:rFonts w:ascii="Times New Roman" w:eastAsia="Arial" w:hAnsi="Times New Roman" w:cs="Times New Roman"/>
          <w:i/>
          <w:sz w:val="24"/>
          <w:szCs w:val="24"/>
        </w:rPr>
        <w:t xml:space="preserve">Nisakathakadi </w:t>
      </w:r>
      <w:r w:rsidRPr="00C10683">
        <w:rPr>
          <w:rFonts w:ascii="Times New Roman" w:hAnsi="Times New Roman" w:cs="Times New Roman"/>
          <w:sz w:val="24"/>
          <w:szCs w:val="24"/>
        </w:rPr>
        <w:t xml:space="preserve">and </w:t>
      </w:r>
      <w:r w:rsidRPr="00C10683">
        <w:rPr>
          <w:rFonts w:ascii="Times New Roman" w:eastAsia="Arial" w:hAnsi="Times New Roman" w:cs="Times New Roman"/>
          <w:i/>
          <w:sz w:val="24"/>
          <w:szCs w:val="24"/>
        </w:rPr>
        <w:t>Varanadi</w:t>
      </w:r>
    </w:p>
    <w:p w:rsidR="00883F22" w:rsidRPr="00C10683" w:rsidRDefault="00883F22" w:rsidP="004912F4">
      <w:pPr>
        <w:pStyle w:val="Heading1"/>
      </w:pPr>
      <w:bookmarkStart w:id="78" w:name="_Toc171420598"/>
      <w:r w:rsidRPr="00C10683">
        <w:lastRenderedPageBreak/>
        <w:t>Objectives of the project</w:t>
      </w:r>
      <w:bookmarkEnd w:id="78"/>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 xml:space="preserve">Mapping of ayurvedic pharmacological actions of </w:t>
      </w:r>
      <w:r w:rsidRPr="00C10683">
        <w:rPr>
          <w:rFonts w:ascii="Times New Roman" w:eastAsia="Arial" w:hAnsi="Times New Roman" w:cs="Times New Roman"/>
          <w:i/>
          <w:sz w:val="24"/>
          <w:szCs w:val="24"/>
        </w:rPr>
        <w:t xml:space="preserve">Nisakathakadi </w:t>
      </w:r>
      <w:r w:rsidRPr="00C10683">
        <w:rPr>
          <w:rFonts w:ascii="Times New Roman" w:hAnsi="Times New Roman" w:cs="Times New Roman"/>
          <w:sz w:val="24"/>
          <w:szCs w:val="24"/>
        </w:rPr>
        <w:t xml:space="preserve">and </w:t>
      </w:r>
      <w:r w:rsidRPr="00C10683">
        <w:rPr>
          <w:rFonts w:ascii="Times New Roman" w:eastAsia="Arial" w:hAnsi="Times New Roman" w:cs="Times New Roman"/>
          <w:i/>
          <w:sz w:val="24"/>
          <w:szCs w:val="24"/>
        </w:rPr>
        <w:t xml:space="preserve">Varanadi kashayam </w:t>
      </w:r>
      <w:r w:rsidRPr="00C10683">
        <w:rPr>
          <w:rFonts w:ascii="Times New Roman" w:hAnsi="Times New Roman" w:cs="Times New Roman"/>
          <w:sz w:val="24"/>
          <w:szCs w:val="24"/>
        </w:rPr>
        <w:t>to diabetes-associated genes</w:t>
      </w:r>
    </w:p>
    <w:p w:rsidR="00883F22" w:rsidRPr="00C10683" w:rsidRDefault="00883F22" w:rsidP="00C10683">
      <w:pPr>
        <w:numPr>
          <w:ilvl w:val="0"/>
          <w:numId w:val="34"/>
        </w:numPr>
        <w:spacing w:after="326"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 xml:space="preserve">Experimental validation of the diabetes associated genes in </w:t>
      </w:r>
      <w:r w:rsidRPr="00C10683">
        <w:rPr>
          <w:rFonts w:ascii="Times New Roman" w:eastAsia="Arial" w:hAnsi="Times New Roman" w:cs="Times New Roman"/>
          <w:i/>
          <w:sz w:val="24"/>
          <w:szCs w:val="24"/>
        </w:rPr>
        <w:t xml:space="preserve">Nisakathakadi and Varanadi </w:t>
      </w:r>
      <w:r w:rsidRPr="00C10683">
        <w:rPr>
          <w:rFonts w:ascii="Times New Roman" w:hAnsi="Times New Roman" w:cs="Times New Roman"/>
          <w:sz w:val="24"/>
          <w:szCs w:val="24"/>
        </w:rPr>
        <w:t>kashayam treated cell and tissue samples</w:t>
      </w:r>
    </w:p>
    <w:p w:rsidR="00883F22" w:rsidRPr="00C10683" w:rsidRDefault="00883F22" w:rsidP="00C10683">
      <w:pPr>
        <w:spacing w:after="448" w:line="271" w:lineRule="auto"/>
        <w:ind w:left="110"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Elaborate on the progress made in the objectives.</w:t>
      </w:r>
    </w:p>
    <w:p w:rsidR="00883F22" w:rsidRPr="00C10683" w:rsidRDefault="00883F22" w:rsidP="00C10683">
      <w:pPr>
        <w:spacing w:after="49" w:line="265" w:lineRule="auto"/>
        <w:ind w:left="-5"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Gene Enrichment Analysis:</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Utilized a bioinformatics tool like SR Plot for gene enrichment analysis.</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Analyzed expression patterns to understand pathways and cellular components associated with diabetes-associated genes.</w:t>
      </w:r>
    </w:p>
    <w:p w:rsidR="00883F22" w:rsidRPr="00C10683" w:rsidRDefault="00883F22" w:rsidP="00C10683">
      <w:pPr>
        <w:numPr>
          <w:ilvl w:val="0"/>
          <w:numId w:val="34"/>
        </w:numPr>
        <w:spacing w:after="388"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Identifying common and different pathways among the genes.</w:t>
      </w:r>
    </w:p>
    <w:p w:rsidR="00883F22" w:rsidRPr="00C10683" w:rsidRDefault="00883F22" w:rsidP="00C10683">
      <w:pPr>
        <w:spacing w:after="49" w:line="265" w:lineRule="auto"/>
        <w:ind w:left="-5"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IMPPAT Database:</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Connected phytoconstituents of a particular species with specific genes using the IMPPAT database.</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Cross-referenced this information with gene enrichment analysis to understand the impact of phytoconstituents on diabetes-associated pathways.</w:t>
      </w:r>
    </w:p>
    <w:p w:rsidR="00883F22" w:rsidRPr="00C10683" w:rsidRDefault="00883F22" w:rsidP="00C10683">
      <w:pPr>
        <w:spacing w:after="349" w:line="265" w:lineRule="auto"/>
        <w:ind w:left="-5"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RT-PCR Experiments:</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Analyzing the gene expression levels of diabetes-associated genes in response to different treatments in RNA samples provided.</w:t>
      </w:r>
    </w:p>
    <w:p w:rsidR="00883F22" w:rsidRPr="00C10683" w:rsidRDefault="00883F22" w:rsidP="00C10683">
      <w:pPr>
        <w:numPr>
          <w:ilvl w:val="0"/>
          <w:numId w:val="34"/>
        </w:numPr>
        <w:spacing w:after="311"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Comparing the results across different treatments to identify trends and variations.</w:t>
      </w:r>
    </w:p>
    <w:p w:rsidR="00883F22" w:rsidRPr="00C10683" w:rsidRDefault="00883F22" w:rsidP="00C10683">
      <w:pPr>
        <w:spacing w:after="349" w:line="265" w:lineRule="auto"/>
        <w:ind w:left="-5"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Viability Trials on STC-1 Cells:</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Continuing the viability trials on STC-1 cells treated with Varanadi kashayam.</w:t>
      </w:r>
    </w:p>
    <w:p w:rsidR="00883F22" w:rsidRPr="00C10683" w:rsidRDefault="00883F22" w:rsidP="00C10683">
      <w:pPr>
        <w:numPr>
          <w:ilvl w:val="0"/>
          <w:numId w:val="34"/>
        </w:numPr>
        <w:spacing w:after="14" w:line="524"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 xml:space="preserve">Monitoring cell viability,proliferation and other relevant parameters </w:t>
      </w:r>
      <w:r w:rsidRPr="00C10683">
        <w:rPr>
          <w:rFonts w:ascii="Times New Roman" w:eastAsia="Arial" w:hAnsi="Times New Roman" w:cs="Times New Roman"/>
          <w:b/>
          <w:sz w:val="24"/>
          <w:szCs w:val="24"/>
        </w:rPr>
        <w:t>Data Integration and Interpretation:</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Integrating the results from gene enrichment analysis,IMPPAT database,RT-PCR experiments and cell viability trials.</w:t>
      </w:r>
    </w:p>
    <w:p w:rsidR="00883F22" w:rsidRPr="00C10683" w:rsidRDefault="00883F22" w:rsidP="00C10683">
      <w:pPr>
        <w:numPr>
          <w:ilvl w:val="0"/>
          <w:numId w:val="34"/>
        </w:numPr>
        <w:spacing w:after="311"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Trying to interpret the findings to understand the overall impact of the treatments on diabetes-associated pathways,gene expression and cellular components.</w:t>
      </w:r>
    </w:p>
    <w:p w:rsidR="00883F22" w:rsidRPr="00C10683" w:rsidRDefault="00883F22" w:rsidP="00C10683">
      <w:pPr>
        <w:spacing w:after="349" w:line="265" w:lineRule="auto"/>
        <w:ind w:left="88" w:hanging="10"/>
        <w:jc w:val="both"/>
        <w:rPr>
          <w:rFonts w:ascii="Times New Roman" w:hAnsi="Times New Roman" w:cs="Times New Roman"/>
          <w:sz w:val="24"/>
          <w:szCs w:val="24"/>
        </w:rPr>
      </w:pPr>
      <w:r w:rsidRPr="00C10683">
        <w:rPr>
          <w:rFonts w:ascii="Times New Roman" w:eastAsia="Arial" w:hAnsi="Times New Roman" w:cs="Times New Roman"/>
          <w:b/>
          <w:sz w:val="24"/>
          <w:szCs w:val="24"/>
        </w:rPr>
        <w:t>Further Analysis:</w:t>
      </w:r>
    </w:p>
    <w:p w:rsidR="00883F22" w:rsidRPr="00C10683" w:rsidRDefault="00883F22" w:rsidP="00C10683">
      <w:pPr>
        <w:numPr>
          <w:ilvl w:val="0"/>
          <w:numId w:val="34"/>
        </w:numPr>
        <w:spacing w:after="14"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lastRenderedPageBreak/>
        <w:t>Have to explore potential correlations between gene expression levels and cellular responses.</w:t>
      </w:r>
    </w:p>
    <w:p w:rsidR="00883F22" w:rsidRPr="00C10683" w:rsidRDefault="00883F22" w:rsidP="00C10683">
      <w:pPr>
        <w:numPr>
          <w:ilvl w:val="0"/>
          <w:numId w:val="34"/>
        </w:numPr>
        <w:spacing w:after="387" w:line="292" w:lineRule="auto"/>
        <w:ind w:hanging="370"/>
        <w:jc w:val="both"/>
        <w:rPr>
          <w:rFonts w:ascii="Times New Roman" w:hAnsi="Times New Roman" w:cs="Times New Roman"/>
          <w:sz w:val="24"/>
          <w:szCs w:val="24"/>
        </w:rPr>
      </w:pPr>
      <w:r w:rsidRPr="00C10683">
        <w:rPr>
          <w:rFonts w:ascii="Times New Roman" w:hAnsi="Times New Roman" w:cs="Times New Roman"/>
          <w:sz w:val="24"/>
          <w:szCs w:val="24"/>
        </w:rPr>
        <w:t>Have to identify potential therapeutic targets or pathways for further investigations.</w:t>
      </w:r>
    </w:p>
    <w:p w:rsidR="00883F22" w:rsidRPr="00C10683" w:rsidRDefault="00883F22" w:rsidP="004912F4">
      <w:pPr>
        <w:pStyle w:val="Heading1"/>
      </w:pPr>
      <w:bookmarkStart w:id="79" w:name="_Toc171420599"/>
      <w:r w:rsidRPr="00C10683">
        <w:t>Skills learned</w:t>
      </w:r>
      <w:bookmarkEnd w:id="79"/>
    </w:p>
    <w:p w:rsidR="00883F22" w:rsidRPr="00C10683" w:rsidRDefault="00883F22" w:rsidP="00C10683">
      <w:pPr>
        <w:numPr>
          <w:ilvl w:val="0"/>
          <w:numId w:val="35"/>
        </w:numPr>
        <w:spacing w:after="14" w:line="292" w:lineRule="auto"/>
        <w:ind w:hanging="360"/>
        <w:jc w:val="both"/>
        <w:rPr>
          <w:rFonts w:ascii="Times New Roman" w:hAnsi="Times New Roman" w:cs="Times New Roman"/>
          <w:sz w:val="24"/>
          <w:szCs w:val="24"/>
        </w:rPr>
      </w:pPr>
      <w:r w:rsidRPr="00C10683">
        <w:rPr>
          <w:rFonts w:ascii="Times New Roman" w:hAnsi="Times New Roman" w:cs="Times New Roman"/>
          <w:sz w:val="24"/>
          <w:szCs w:val="24"/>
        </w:rPr>
        <w:t>Primer Designing</w:t>
      </w:r>
    </w:p>
    <w:p w:rsidR="00883F22" w:rsidRPr="00C10683" w:rsidRDefault="00883F22" w:rsidP="00C10683">
      <w:pPr>
        <w:numPr>
          <w:ilvl w:val="0"/>
          <w:numId w:val="35"/>
        </w:numPr>
        <w:spacing w:after="14" w:line="292" w:lineRule="auto"/>
        <w:ind w:hanging="360"/>
        <w:jc w:val="both"/>
        <w:rPr>
          <w:rFonts w:ascii="Times New Roman" w:hAnsi="Times New Roman" w:cs="Times New Roman"/>
          <w:sz w:val="24"/>
          <w:szCs w:val="24"/>
        </w:rPr>
      </w:pPr>
      <w:r w:rsidRPr="00C10683">
        <w:rPr>
          <w:rFonts w:ascii="Times New Roman" w:hAnsi="Times New Roman" w:cs="Times New Roman"/>
          <w:sz w:val="24"/>
          <w:szCs w:val="24"/>
        </w:rPr>
        <w:t>Operating PCR (cDNA synthesis)</w:t>
      </w:r>
    </w:p>
    <w:p w:rsidR="00883F22" w:rsidRPr="00C10683" w:rsidRDefault="00883F22" w:rsidP="00C10683">
      <w:pPr>
        <w:numPr>
          <w:ilvl w:val="0"/>
          <w:numId w:val="35"/>
        </w:numPr>
        <w:spacing w:after="14" w:line="292" w:lineRule="auto"/>
        <w:ind w:hanging="360"/>
        <w:jc w:val="both"/>
        <w:rPr>
          <w:rFonts w:ascii="Times New Roman" w:hAnsi="Times New Roman" w:cs="Times New Roman"/>
          <w:sz w:val="24"/>
          <w:szCs w:val="24"/>
        </w:rPr>
      </w:pPr>
      <w:r w:rsidRPr="00C10683">
        <w:rPr>
          <w:rFonts w:ascii="Times New Roman" w:hAnsi="Times New Roman" w:cs="Times New Roman"/>
          <w:sz w:val="24"/>
          <w:szCs w:val="24"/>
        </w:rPr>
        <w:t>Operating RT-PCR</w:t>
      </w:r>
    </w:p>
    <w:p w:rsidR="00883F22" w:rsidRPr="00C10683" w:rsidRDefault="00883F22" w:rsidP="00C10683">
      <w:pPr>
        <w:spacing w:after="14" w:line="292" w:lineRule="auto"/>
        <w:ind w:left="1440"/>
        <w:jc w:val="both"/>
        <w:rPr>
          <w:rFonts w:ascii="Times New Roman" w:hAnsi="Times New Roman" w:cs="Times New Roman"/>
          <w:sz w:val="24"/>
          <w:szCs w:val="24"/>
        </w:rPr>
      </w:pPr>
    </w:p>
    <w:p w:rsidR="0009727A" w:rsidRPr="0009727A" w:rsidRDefault="0009727A" w:rsidP="0009727A">
      <w:pPr>
        <w:pStyle w:val="Heading2"/>
      </w:pPr>
      <w:bookmarkStart w:id="80" w:name="_Toc171420600"/>
      <w:r>
        <w:t>PROGRESS REPORT 3</w:t>
      </w:r>
      <w:bookmarkEnd w:id="80"/>
    </w:p>
    <w:p w:rsidR="00883F22" w:rsidRPr="00C10683" w:rsidRDefault="00883F22" w:rsidP="004912F4">
      <w:pPr>
        <w:pStyle w:val="Heading1"/>
      </w:pPr>
      <w:bookmarkStart w:id="81" w:name="_Toc171420601"/>
      <w:r w:rsidRPr="00C10683">
        <w:t>Title</w:t>
      </w:r>
      <w:bookmarkEnd w:id="81"/>
    </w:p>
    <w:p w:rsidR="00883F22" w:rsidRPr="00C10683" w:rsidRDefault="00883F22" w:rsidP="00C10683">
      <w:pPr>
        <w:spacing w:after="463"/>
        <w:ind w:left="-15" w:firstLine="713"/>
        <w:jc w:val="both"/>
        <w:rPr>
          <w:rFonts w:ascii="Times New Roman" w:hAnsi="Times New Roman" w:cs="Times New Roman"/>
          <w:sz w:val="24"/>
          <w:szCs w:val="24"/>
        </w:rPr>
      </w:pPr>
      <w:r w:rsidRPr="00C10683">
        <w:rPr>
          <w:rFonts w:ascii="Times New Roman" w:hAnsi="Times New Roman" w:cs="Times New Roman"/>
          <w:sz w:val="24"/>
          <w:szCs w:val="24"/>
        </w:rPr>
        <w:t xml:space="preserve">Comparative Analysis of Mechanism of Anti-diabetic action of </w:t>
      </w:r>
      <w:r w:rsidRPr="00C10683">
        <w:rPr>
          <w:rFonts w:ascii="Times New Roman" w:hAnsi="Times New Roman" w:cs="Times New Roman"/>
          <w:i/>
          <w:sz w:val="24"/>
          <w:szCs w:val="24"/>
        </w:rPr>
        <w:t xml:space="preserve">Nisakathakadi </w:t>
      </w:r>
      <w:r w:rsidRPr="00C10683">
        <w:rPr>
          <w:rFonts w:ascii="Times New Roman" w:hAnsi="Times New Roman" w:cs="Times New Roman"/>
          <w:sz w:val="24"/>
          <w:szCs w:val="24"/>
        </w:rPr>
        <w:t xml:space="preserve">and </w:t>
      </w:r>
      <w:r w:rsidRPr="00C10683">
        <w:rPr>
          <w:rFonts w:ascii="Times New Roman" w:hAnsi="Times New Roman" w:cs="Times New Roman"/>
          <w:i/>
          <w:sz w:val="24"/>
          <w:szCs w:val="24"/>
        </w:rPr>
        <w:t>Varanadi</w:t>
      </w:r>
    </w:p>
    <w:p w:rsidR="00883F22" w:rsidRPr="00C10683" w:rsidRDefault="00883F22" w:rsidP="004912F4">
      <w:pPr>
        <w:pStyle w:val="Heading1"/>
      </w:pPr>
      <w:bookmarkStart w:id="82" w:name="_Toc171420602"/>
      <w:r w:rsidRPr="00C10683">
        <w:t>Objectives of the project</w:t>
      </w:r>
      <w:bookmarkEnd w:id="82"/>
    </w:p>
    <w:p w:rsidR="00883F22" w:rsidRPr="00C10683" w:rsidRDefault="00883F22" w:rsidP="00C10683">
      <w:pPr>
        <w:numPr>
          <w:ilvl w:val="0"/>
          <w:numId w:val="36"/>
        </w:numPr>
        <w:spacing w:after="11" w:line="290" w:lineRule="auto"/>
        <w:ind w:hanging="360"/>
        <w:jc w:val="both"/>
        <w:rPr>
          <w:rFonts w:ascii="Times New Roman" w:hAnsi="Times New Roman" w:cs="Times New Roman"/>
          <w:sz w:val="24"/>
          <w:szCs w:val="24"/>
        </w:rPr>
      </w:pPr>
      <w:r w:rsidRPr="00C10683">
        <w:rPr>
          <w:rFonts w:ascii="Times New Roman" w:hAnsi="Times New Roman" w:cs="Times New Roman"/>
          <w:sz w:val="24"/>
          <w:szCs w:val="24"/>
        </w:rPr>
        <w:t xml:space="preserve">Mapping of ayurvedic pharmacological actions of </w:t>
      </w:r>
      <w:r w:rsidRPr="00C10683">
        <w:rPr>
          <w:rFonts w:ascii="Times New Roman" w:hAnsi="Times New Roman" w:cs="Times New Roman"/>
          <w:i/>
          <w:sz w:val="24"/>
          <w:szCs w:val="24"/>
        </w:rPr>
        <w:t xml:space="preserve">Nisakathakadi </w:t>
      </w:r>
      <w:r w:rsidRPr="00C10683">
        <w:rPr>
          <w:rFonts w:ascii="Times New Roman" w:hAnsi="Times New Roman" w:cs="Times New Roman"/>
          <w:sz w:val="24"/>
          <w:szCs w:val="24"/>
        </w:rPr>
        <w:t xml:space="preserve">and </w:t>
      </w:r>
      <w:r w:rsidRPr="00C10683">
        <w:rPr>
          <w:rFonts w:ascii="Times New Roman" w:hAnsi="Times New Roman" w:cs="Times New Roman"/>
          <w:i/>
          <w:sz w:val="24"/>
          <w:szCs w:val="24"/>
        </w:rPr>
        <w:t xml:space="preserve">Varanadi kashayam </w:t>
      </w:r>
      <w:r w:rsidRPr="00C10683">
        <w:rPr>
          <w:rFonts w:ascii="Times New Roman" w:hAnsi="Times New Roman" w:cs="Times New Roman"/>
          <w:sz w:val="24"/>
          <w:szCs w:val="24"/>
        </w:rPr>
        <w:t>to diabetes-associated genes</w:t>
      </w:r>
    </w:p>
    <w:p w:rsidR="00883F22" w:rsidRPr="00C10683" w:rsidRDefault="00883F22" w:rsidP="00C10683">
      <w:pPr>
        <w:numPr>
          <w:ilvl w:val="0"/>
          <w:numId w:val="36"/>
        </w:numPr>
        <w:spacing w:after="308" w:line="290" w:lineRule="auto"/>
        <w:ind w:hanging="360"/>
        <w:jc w:val="both"/>
        <w:rPr>
          <w:rFonts w:ascii="Times New Roman" w:hAnsi="Times New Roman" w:cs="Times New Roman"/>
          <w:sz w:val="24"/>
          <w:szCs w:val="24"/>
        </w:rPr>
      </w:pPr>
      <w:r w:rsidRPr="00C10683">
        <w:rPr>
          <w:rFonts w:ascii="Times New Roman" w:hAnsi="Times New Roman" w:cs="Times New Roman"/>
          <w:sz w:val="24"/>
          <w:szCs w:val="24"/>
        </w:rPr>
        <w:t xml:space="preserve">Experimental validation of the diabetes associated genes in </w:t>
      </w:r>
      <w:r w:rsidRPr="00C10683">
        <w:rPr>
          <w:rFonts w:ascii="Times New Roman" w:hAnsi="Times New Roman" w:cs="Times New Roman"/>
          <w:i/>
          <w:sz w:val="24"/>
          <w:szCs w:val="24"/>
        </w:rPr>
        <w:t xml:space="preserve">Nisakathakadi and Varanadi </w:t>
      </w:r>
      <w:r w:rsidRPr="00C10683">
        <w:rPr>
          <w:rFonts w:ascii="Times New Roman" w:hAnsi="Times New Roman" w:cs="Times New Roman"/>
          <w:sz w:val="24"/>
          <w:szCs w:val="24"/>
        </w:rPr>
        <w:t>kashayam treated cell and tissue samples</w:t>
      </w:r>
    </w:p>
    <w:p w:rsidR="00883F22" w:rsidRPr="00C10683" w:rsidRDefault="00883F22" w:rsidP="00C10683">
      <w:pPr>
        <w:spacing w:after="272" w:line="268" w:lineRule="auto"/>
        <w:ind w:left="-5"/>
        <w:jc w:val="both"/>
        <w:rPr>
          <w:rFonts w:ascii="Times New Roman" w:hAnsi="Times New Roman" w:cs="Times New Roman"/>
          <w:sz w:val="24"/>
          <w:szCs w:val="24"/>
        </w:rPr>
      </w:pPr>
      <w:r w:rsidRPr="00C10683">
        <w:rPr>
          <w:rFonts w:ascii="Times New Roman" w:hAnsi="Times New Roman" w:cs="Times New Roman"/>
          <w:b/>
          <w:sz w:val="24"/>
          <w:szCs w:val="24"/>
        </w:rPr>
        <w:t>Elaborate on the progress made in the objectives.</w:t>
      </w:r>
    </w:p>
    <w:p w:rsidR="00883F22" w:rsidRPr="00C10683" w:rsidRDefault="00883F22" w:rsidP="00C10683">
      <w:pPr>
        <w:ind w:left="-5"/>
        <w:jc w:val="both"/>
        <w:rPr>
          <w:rFonts w:ascii="Times New Roman" w:hAnsi="Times New Roman" w:cs="Times New Roman"/>
          <w:sz w:val="24"/>
          <w:szCs w:val="24"/>
        </w:rPr>
      </w:pPr>
      <w:r w:rsidRPr="00C10683">
        <w:rPr>
          <w:rFonts w:ascii="Times New Roman" w:hAnsi="Times New Roman" w:cs="Times New Roman"/>
          <w:sz w:val="24"/>
          <w:szCs w:val="24"/>
        </w:rPr>
        <w:t xml:space="preserve">I've compiled the properties of both </w:t>
      </w:r>
      <w:r w:rsidRPr="00C10683">
        <w:rPr>
          <w:rFonts w:ascii="Times New Roman" w:hAnsi="Times New Roman" w:cs="Times New Roman"/>
          <w:i/>
          <w:sz w:val="24"/>
          <w:szCs w:val="24"/>
        </w:rPr>
        <w:t xml:space="preserve">Nisakathakadi </w:t>
      </w:r>
      <w:r w:rsidRPr="00C10683">
        <w:rPr>
          <w:rFonts w:ascii="Times New Roman" w:hAnsi="Times New Roman" w:cs="Times New Roman"/>
          <w:sz w:val="24"/>
          <w:szCs w:val="24"/>
        </w:rPr>
        <w:t xml:space="preserve">and </w:t>
      </w:r>
      <w:r w:rsidRPr="00C10683">
        <w:rPr>
          <w:rFonts w:ascii="Times New Roman" w:hAnsi="Times New Roman" w:cs="Times New Roman"/>
          <w:i/>
          <w:sz w:val="24"/>
          <w:szCs w:val="24"/>
        </w:rPr>
        <w:t xml:space="preserve">Varanadi Kashayam </w:t>
      </w:r>
      <w:r w:rsidRPr="00C10683">
        <w:rPr>
          <w:rFonts w:ascii="Times New Roman" w:hAnsi="Times New Roman" w:cs="Times New Roman"/>
          <w:sz w:val="24"/>
          <w:szCs w:val="24"/>
        </w:rPr>
        <w:t>drugs as per the classical texts.Still needs to be modified.</w:t>
      </w:r>
    </w:p>
    <w:p w:rsidR="00883F22" w:rsidRPr="00C10683" w:rsidRDefault="00883F22" w:rsidP="00C10683">
      <w:pPr>
        <w:ind w:left="-15" w:firstLine="93"/>
        <w:jc w:val="both"/>
        <w:rPr>
          <w:rFonts w:ascii="Times New Roman" w:hAnsi="Times New Roman" w:cs="Times New Roman"/>
          <w:sz w:val="24"/>
          <w:szCs w:val="24"/>
        </w:rPr>
      </w:pPr>
      <w:r w:rsidRPr="00C10683">
        <w:rPr>
          <w:rFonts w:ascii="Times New Roman" w:hAnsi="Times New Roman" w:cs="Times New Roman"/>
          <w:sz w:val="24"/>
          <w:szCs w:val="24"/>
        </w:rPr>
        <w:t>I'm attempting to correlate the drug's actions with the properties mentioned in these classics. Both formulations are known to enhance digestion.</w:t>
      </w:r>
    </w:p>
    <w:p w:rsidR="00883F22" w:rsidRPr="00C10683" w:rsidRDefault="00883F22" w:rsidP="00C10683">
      <w:pPr>
        <w:ind w:left="88"/>
        <w:jc w:val="both"/>
        <w:rPr>
          <w:rFonts w:ascii="Times New Roman" w:hAnsi="Times New Roman" w:cs="Times New Roman"/>
          <w:sz w:val="24"/>
          <w:szCs w:val="24"/>
        </w:rPr>
      </w:pPr>
      <w:r w:rsidRPr="00C10683">
        <w:rPr>
          <w:rFonts w:ascii="Times New Roman" w:hAnsi="Times New Roman" w:cs="Times New Roman"/>
          <w:sz w:val="24"/>
          <w:szCs w:val="24"/>
        </w:rPr>
        <w:t>I've gathered the fatty acid profiles of various food sources.</w:t>
      </w:r>
    </w:p>
    <w:p w:rsidR="00883F22" w:rsidRPr="00C10683" w:rsidRDefault="00883F22" w:rsidP="00C10683">
      <w:pPr>
        <w:ind w:left="-5"/>
        <w:jc w:val="both"/>
        <w:rPr>
          <w:rFonts w:ascii="Times New Roman" w:hAnsi="Times New Roman" w:cs="Times New Roman"/>
          <w:sz w:val="24"/>
          <w:szCs w:val="24"/>
        </w:rPr>
      </w:pPr>
      <w:r w:rsidRPr="00C10683">
        <w:rPr>
          <w:rFonts w:ascii="Times New Roman" w:hAnsi="Times New Roman" w:cs="Times New Roman"/>
          <w:sz w:val="24"/>
          <w:szCs w:val="24"/>
        </w:rPr>
        <w:t>I'm creating a chart based on information from different papers regarding the fatty acid profiles of these food sources. This chart is essential because individuals often consume confectionary foods between meals, which can lead to overeating and impair intestinal cell functioning.</w:t>
      </w:r>
    </w:p>
    <w:p w:rsidR="00883F22" w:rsidRPr="00C10683" w:rsidRDefault="00883F22" w:rsidP="00C10683">
      <w:pPr>
        <w:ind w:left="-5"/>
        <w:jc w:val="both"/>
        <w:rPr>
          <w:rFonts w:ascii="Times New Roman" w:hAnsi="Times New Roman" w:cs="Times New Roman"/>
          <w:sz w:val="24"/>
          <w:szCs w:val="24"/>
        </w:rPr>
      </w:pPr>
      <w:r w:rsidRPr="00C10683">
        <w:rPr>
          <w:rFonts w:ascii="Times New Roman" w:hAnsi="Times New Roman" w:cs="Times New Roman"/>
          <w:sz w:val="24"/>
          <w:szCs w:val="24"/>
        </w:rPr>
        <w:t>This is to show how these impairments could be mitigated by the two formulations. I'm interested in observing GLP-1 secretion in enteroendocrine cells and monitoring specific markers in enterocytes.</w:t>
      </w:r>
    </w:p>
    <w:p w:rsidR="00883F22" w:rsidRPr="00C10683" w:rsidRDefault="00883F22" w:rsidP="00C10683">
      <w:pPr>
        <w:ind w:left="-5"/>
        <w:jc w:val="both"/>
        <w:rPr>
          <w:rFonts w:ascii="Times New Roman" w:hAnsi="Times New Roman" w:cs="Times New Roman"/>
          <w:sz w:val="24"/>
          <w:szCs w:val="24"/>
        </w:rPr>
      </w:pPr>
      <w:r w:rsidRPr="00C10683">
        <w:rPr>
          <w:rFonts w:ascii="Times New Roman" w:hAnsi="Times New Roman" w:cs="Times New Roman"/>
          <w:sz w:val="24"/>
          <w:szCs w:val="24"/>
        </w:rPr>
        <w:t>I've conducted lipotoxicity assays in both enterocytes and enteroendocrine cells.</w:t>
      </w:r>
    </w:p>
    <w:p w:rsidR="00883F22" w:rsidRPr="00C10683" w:rsidRDefault="00883F22" w:rsidP="00C10683">
      <w:pPr>
        <w:spacing w:after="393" w:line="360" w:lineRule="auto"/>
        <w:ind w:left="-5"/>
        <w:jc w:val="both"/>
        <w:rPr>
          <w:rFonts w:ascii="Times New Roman" w:hAnsi="Times New Roman" w:cs="Times New Roman"/>
          <w:sz w:val="24"/>
          <w:szCs w:val="24"/>
        </w:rPr>
      </w:pPr>
      <w:r w:rsidRPr="00C10683">
        <w:rPr>
          <w:rFonts w:ascii="Times New Roman" w:hAnsi="Times New Roman" w:cs="Times New Roman"/>
          <w:sz w:val="24"/>
          <w:szCs w:val="24"/>
        </w:rPr>
        <w:t>There are seeding errors in lipotoxicity assays. I have to repeat these experiments to get proper results.</w:t>
      </w:r>
    </w:p>
    <w:p w:rsidR="00883F22" w:rsidRPr="00C10683" w:rsidRDefault="00883F22" w:rsidP="004912F4">
      <w:pPr>
        <w:pStyle w:val="Heading1"/>
      </w:pPr>
      <w:bookmarkStart w:id="83" w:name="_Toc171420603"/>
      <w:r w:rsidRPr="00C10683">
        <w:lastRenderedPageBreak/>
        <w:t>Skills learned</w:t>
      </w:r>
      <w:bookmarkEnd w:id="83"/>
    </w:p>
    <w:p w:rsidR="00883F22" w:rsidRPr="00C10683" w:rsidRDefault="00883F22" w:rsidP="00C10683">
      <w:pPr>
        <w:ind w:left="-5"/>
        <w:jc w:val="both"/>
        <w:rPr>
          <w:rFonts w:ascii="Times New Roman" w:hAnsi="Times New Roman" w:cs="Times New Roman"/>
          <w:sz w:val="24"/>
          <w:szCs w:val="24"/>
        </w:rPr>
      </w:pPr>
      <w:r w:rsidRPr="00C10683">
        <w:rPr>
          <w:rFonts w:ascii="Times New Roman" w:hAnsi="Times New Roman" w:cs="Times New Roman"/>
          <w:sz w:val="24"/>
          <w:szCs w:val="24"/>
        </w:rPr>
        <w:t>I’ve observed the western blot performed by seniors I have not done but I was involved in some steps but I have observed each and every step and written protocol.</w:t>
      </w:r>
    </w:p>
    <w:p w:rsidR="00883F22" w:rsidRPr="00C10683" w:rsidRDefault="00883F22" w:rsidP="00C10683">
      <w:pPr>
        <w:spacing w:after="393"/>
        <w:ind w:left="-5"/>
        <w:jc w:val="both"/>
        <w:rPr>
          <w:rFonts w:ascii="Times New Roman" w:hAnsi="Times New Roman" w:cs="Times New Roman"/>
          <w:sz w:val="24"/>
          <w:szCs w:val="24"/>
        </w:rPr>
      </w:pPr>
      <w:r w:rsidRPr="00C10683">
        <w:rPr>
          <w:rFonts w:ascii="Times New Roman" w:hAnsi="Times New Roman" w:cs="Times New Roman"/>
          <w:sz w:val="24"/>
          <w:szCs w:val="24"/>
        </w:rPr>
        <w:t>Previously I was only seeding and now I have learnt how to treat the cells without disturbing them at the surface.</w:t>
      </w:r>
    </w:p>
    <w:p w:rsidR="00883F22" w:rsidRPr="00C10683" w:rsidRDefault="00883F22" w:rsidP="00C10683">
      <w:pPr>
        <w:spacing w:after="17" w:line="268" w:lineRule="auto"/>
        <w:ind w:left="-5"/>
        <w:jc w:val="both"/>
        <w:rPr>
          <w:rFonts w:ascii="Times New Roman" w:hAnsi="Times New Roman" w:cs="Times New Roman"/>
          <w:sz w:val="24"/>
          <w:szCs w:val="24"/>
        </w:rPr>
      </w:pPr>
      <w:r w:rsidRPr="00C10683">
        <w:rPr>
          <w:rFonts w:ascii="Times New Roman" w:hAnsi="Times New Roman" w:cs="Times New Roman"/>
          <w:b/>
          <w:sz w:val="24"/>
          <w:szCs w:val="24"/>
        </w:rPr>
        <w:t>Challenges that you have faced while doing your work.</w:t>
      </w:r>
    </w:p>
    <w:p w:rsidR="00883F22" w:rsidRPr="00C10683" w:rsidRDefault="00883F22" w:rsidP="00C10683">
      <w:pPr>
        <w:spacing w:after="7"/>
        <w:ind w:left="-5"/>
        <w:jc w:val="both"/>
        <w:rPr>
          <w:rFonts w:ascii="Times New Roman" w:hAnsi="Times New Roman" w:cs="Times New Roman"/>
          <w:sz w:val="24"/>
          <w:szCs w:val="24"/>
        </w:rPr>
      </w:pPr>
      <w:r w:rsidRPr="00C10683">
        <w:rPr>
          <w:rFonts w:ascii="Times New Roman" w:hAnsi="Times New Roman" w:cs="Times New Roman"/>
          <w:sz w:val="24"/>
          <w:szCs w:val="24"/>
        </w:rPr>
        <w:t>I had a lot of problems with seeding which resulted in variation in the number of cells in each well which will affect my results. I'm trying to do it properly</w:t>
      </w:r>
      <w:r w:rsidRPr="00C10683">
        <w:rPr>
          <w:rFonts w:ascii="Times New Roman" w:hAnsi="Times New Roman" w:cs="Times New Roman"/>
          <w:b/>
          <w:sz w:val="24"/>
          <w:szCs w:val="24"/>
        </w:rPr>
        <w:t>.</w:t>
      </w:r>
    </w:p>
    <w:p w:rsidR="00883F22" w:rsidRPr="00C10683" w:rsidRDefault="00883F22" w:rsidP="00C10683">
      <w:pPr>
        <w:spacing w:after="11"/>
        <w:ind w:left="-5"/>
        <w:jc w:val="both"/>
        <w:rPr>
          <w:rFonts w:ascii="Times New Roman" w:hAnsi="Times New Roman" w:cs="Times New Roman"/>
          <w:sz w:val="24"/>
          <w:szCs w:val="24"/>
        </w:rPr>
      </w:pPr>
      <w:r w:rsidRPr="00C10683">
        <w:rPr>
          <w:rFonts w:ascii="Times New Roman" w:hAnsi="Times New Roman" w:cs="Times New Roman"/>
          <w:sz w:val="24"/>
          <w:szCs w:val="24"/>
        </w:rPr>
        <w:t>While performing viability tests at lower concentrations of drugs the cell viability was less.</w:t>
      </w:r>
    </w:p>
    <w:p w:rsidR="00883F22" w:rsidRPr="00C10683" w:rsidRDefault="00883F22" w:rsidP="00C10683">
      <w:pPr>
        <w:ind w:left="-5"/>
        <w:jc w:val="both"/>
        <w:rPr>
          <w:rFonts w:ascii="Times New Roman" w:hAnsi="Times New Roman" w:cs="Times New Roman"/>
          <w:sz w:val="24"/>
          <w:szCs w:val="24"/>
        </w:rPr>
      </w:pPr>
      <w:r w:rsidRPr="00C10683">
        <w:rPr>
          <w:rFonts w:ascii="Times New Roman" w:hAnsi="Times New Roman" w:cs="Times New Roman"/>
          <w:sz w:val="24"/>
          <w:szCs w:val="24"/>
        </w:rPr>
        <w:t>This has been tried with different concentrations.</w:t>
      </w:r>
    </w:p>
    <w:p w:rsidR="00883F22" w:rsidRPr="00C10683" w:rsidRDefault="00883F22" w:rsidP="00C10683">
      <w:pPr>
        <w:spacing w:after="14" w:line="292" w:lineRule="auto"/>
        <w:ind w:left="1440"/>
        <w:jc w:val="both"/>
        <w:rPr>
          <w:rFonts w:ascii="Times New Roman" w:hAnsi="Times New Roman" w:cs="Times New Roman"/>
          <w:sz w:val="24"/>
          <w:szCs w:val="24"/>
        </w:rPr>
      </w:pPr>
    </w:p>
    <w:p w:rsidR="00883F22" w:rsidRPr="00C10683" w:rsidRDefault="00883F22" w:rsidP="00C10683">
      <w:pPr>
        <w:spacing w:after="9" w:line="360" w:lineRule="auto"/>
        <w:jc w:val="both"/>
        <w:rPr>
          <w:rFonts w:ascii="Times New Roman" w:hAnsi="Times New Roman" w:cs="Times New Roman"/>
          <w:sz w:val="24"/>
          <w:szCs w:val="24"/>
        </w:rPr>
      </w:pPr>
    </w:p>
    <w:p w:rsidR="00C45005" w:rsidRPr="00C10683" w:rsidRDefault="00C45005" w:rsidP="00C10683">
      <w:pPr>
        <w:spacing w:after="9" w:line="360" w:lineRule="auto"/>
        <w:jc w:val="both"/>
        <w:rPr>
          <w:rFonts w:ascii="Times New Roman" w:hAnsi="Times New Roman" w:cs="Times New Roman"/>
          <w:sz w:val="24"/>
          <w:szCs w:val="24"/>
        </w:rPr>
      </w:pPr>
    </w:p>
    <w:p w:rsidR="00C45005" w:rsidRPr="00C10683" w:rsidRDefault="00C45005" w:rsidP="00C10683">
      <w:pPr>
        <w:spacing w:after="9" w:line="360" w:lineRule="auto"/>
        <w:jc w:val="both"/>
        <w:rPr>
          <w:rFonts w:ascii="Times New Roman" w:hAnsi="Times New Roman" w:cs="Times New Roman"/>
          <w:sz w:val="24"/>
          <w:szCs w:val="24"/>
        </w:rPr>
      </w:pPr>
    </w:p>
    <w:p w:rsidR="00C45005" w:rsidRPr="00C10683" w:rsidRDefault="00C45005" w:rsidP="00C10683">
      <w:pPr>
        <w:spacing w:after="9" w:line="360" w:lineRule="auto"/>
        <w:jc w:val="both"/>
        <w:rPr>
          <w:rFonts w:ascii="Times New Roman" w:hAnsi="Times New Roman" w:cs="Times New Roman"/>
          <w:sz w:val="24"/>
          <w:szCs w:val="24"/>
          <w:lang w:eastAsia="en-IN"/>
        </w:rPr>
      </w:pPr>
      <w:r w:rsidRPr="00C10683">
        <w:rPr>
          <w:rFonts w:ascii="Times New Roman" w:hAnsi="Times New Roman" w:cs="Times New Roman"/>
          <w:sz w:val="24"/>
          <w:szCs w:val="24"/>
        </w:rPr>
        <w:t>.</w:t>
      </w:r>
    </w:p>
    <w:p w:rsidR="00C45005" w:rsidRPr="00C10683" w:rsidRDefault="00C45005" w:rsidP="00C10683">
      <w:pPr>
        <w:spacing w:after="9" w:line="360" w:lineRule="auto"/>
        <w:jc w:val="both"/>
        <w:rPr>
          <w:rFonts w:ascii="Times New Roman" w:hAnsi="Times New Roman" w:cs="Times New Roman"/>
          <w:sz w:val="24"/>
          <w:szCs w:val="24"/>
          <w:lang w:eastAsia="en-IN"/>
        </w:rPr>
      </w:pPr>
    </w:p>
    <w:p w:rsidR="00C45005" w:rsidRPr="00C10683" w:rsidRDefault="00C45005" w:rsidP="00C10683">
      <w:pPr>
        <w:spacing w:after="9" w:line="360" w:lineRule="auto"/>
        <w:jc w:val="both"/>
        <w:rPr>
          <w:rFonts w:ascii="Times New Roman" w:hAnsi="Times New Roman" w:cs="Times New Roman"/>
          <w:sz w:val="24"/>
          <w:szCs w:val="24"/>
          <w:lang w:eastAsia="en-IN"/>
        </w:rPr>
      </w:pPr>
    </w:p>
    <w:p w:rsidR="00C45005" w:rsidRPr="00C10683" w:rsidRDefault="00C45005" w:rsidP="00C10683">
      <w:pPr>
        <w:spacing w:after="746" w:line="360" w:lineRule="auto"/>
        <w:ind w:left="345"/>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D94C3B" w:rsidRPr="00C10683" w:rsidRDefault="00D94C3B" w:rsidP="00C10683">
      <w:pPr>
        <w:jc w:val="both"/>
        <w:rPr>
          <w:rFonts w:ascii="Times New Roman"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r w:rsidRPr="00C10683">
        <w:rPr>
          <w:rFonts w:ascii="Times New Roman" w:eastAsia="ArialMT" w:hAnsi="Times New Roman" w:cs="Times New Roman"/>
          <w:sz w:val="24"/>
          <w:szCs w:val="24"/>
        </w:rPr>
        <w:fldChar w:fldCharType="end"/>
      </w: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CB2BBE" w:rsidRPr="00C10683" w:rsidRDefault="00CB2BBE" w:rsidP="00C10683">
      <w:pPr>
        <w:autoSpaceDE w:val="0"/>
        <w:autoSpaceDN w:val="0"/>
        <w:adjustRightInd w:val="0"/>
        <w:spacing w:after="0" w:line="240" w:lineRule="auto"/>
        <w:jc w:val="both"/>
        <w:rPr>
          <w:rFonts w:ascii="Times New Roman" w:eastAsia="ArialMT" w:hAnsi="Times New Roman" w:cs="Times New Roman"/>
          <w:sz w:val="24"/>
          <w:szCs w:val="24"/>
        </w:rPr>
      </w:pPr>
    </w:p>
    <w:p w:rsidR="005563AF" w:rsidRPr="00C10683" w:rsidRDefault="005563AF" w:rsidP="00C10683">
      <w:pPr>
        <w:jc w:val="both"/>
        <w:rPr>
          <w:rFonts w:ascii="Times New Roman" w:hAnsi="Times New Roman" w:cs="Times New Roman"/>
          <w:sz w:val="24"/>
          <w:szCs w:val="24"/>
        </w:rPr>
      </w:pPr>
    </w:p>
    <w:sectPr w:rsidR="005563AF" w:rsidRPr="00C10683" w:rsidSect="003B58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FC4" w:rsidRDefault="009D6FC4" w:rsidP="00E1701B">
      <w:pPr>
        <w:spacing w:after="0" w:line="240" w:lineRule="auto"/>
      </w:pPr>
      <w:r>
        <w:separator/>
      </w:r>
    </w:p>
  </w:endnote>
  <w:endnote w:type="continuationSeparator" w:id="0">
    <w:p w:rsidR="009D6FC4" w:rsidRDefault="009D6FC4" w:rsidP="00E1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Kartika">
    <w:altName w:val="Gentium Book Basic"/>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FC4" w:rsidRDefault="009D6FC4" w:rsidP="00E1701B">
      <w:pPr>
        <w:spacing w:after="0" w:line="240" w:lineRule="auto"/>
      </w:pPr>
      <w:r>
        <w:separator/>
      </w:r>
    </w:p>
  </w:footnote>
  <w:footnote w:type="continuationSeparator" w:id="0">
    <w:p w:rsidR="009D6FC4" w:rsidRDefault="009D6FC4" w:rsidP="00E1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465855"/>
      <w:docPartObj>
        <w:docPartGallery w:val="Page Numbers (Top of Page)"/>
        <w:docPartUnique/>
      </w:docPartObj>
    </w:sdtPr>
    <w:sdtContent>
      <w:p w:rsidR="003878D3" w:rsidRDefault="003878D3">
        <w:pPr>
          <w:pStyle w:val="Header"/>
          <w:jc w:val="right"/>
        </w:pPr>
        <w:r>
          <w:fldChar w:fldCharType="begin"/>
        </w:r>
        <w:r>
          <w:instrText xml:space="preserve"> PAGE   \* MERGEFORMAT </w:instrText>
        </w:r>
        <w:r>
          <w:fldChar w:fldCharType="separate"/>
        </w:r>
        <w:r w:rsidR="008F12CE">
          <w:rPr>
            <w:noProof/>
          </w:rPr>
          <w:t>i</w:t>
        </w:r>
        <w:r>
          <w:rPr>
            <w:noProof/>
          </w:rPr>
          <w:fldChar w:fldCharType="end"/>
        </w:r>
      </w:p>
    </w:sdtContent>
  </w:sdt>
  <w:p w:rsidR="003878D3" w:rsidRDefault="00387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011625"/>
      <w:docPartObj>
        <w:docPartGallery w:val="Page Numbers (Top of Page)"/>
        <w:docPartUnique/>
      </w:docPartObj>
    </w:sdtPr>
    <w:sdtContent>
      <w:p w:rsidR="003878D3" w:rsidRDefault="003878D3">
        <w:pPr>
          <w:pStyle w:val="Header"/>
          <w:jc w:val="right"/>
        </w:pPr>
        <w:r>
          <w:fldChar w:fldCharType="begin"/>
        </w:r>
        <w:r>
          <w:instrText xml:space="preserve"> PAGE   \* MERGEFORMAT </w:instrText>
        </w:r>
        <w:r>
          <w:fldChar w:fldCharType="separate"/>
        </w:r>
        <w:r w:rsidR="008F12CE">
          <w:rPr>
            <w:noProof/>
          </w:rPr>
          <w:t>12</w:t>
        </w:r>
        <w:r>
          <w:rPr>
            <w:noProof/>
          </w:rPr>
          <w:fldChar w:fldCharType="end"/>
        </w:r>
      </w:p>
    </w:sdtContent>
  </w:sdt>
  <w:p w:rsidR="003878D3" w:rsidRDefault="00387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5E7"/>
    <w:multiLevelType w:val="hybridMultilevel"/>
    <w:tmpl w:val="E0E65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887CF8"/>
    <w:multiLevelType w:val="hybridMultilevel"/>
    <w:tmpl w:val="32AEAA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1AA7928"/>
    <w:multiLevelType w:val="hybridMultilevel"/>
    <w:tmpl w:val="39F4D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234182"/>
    <w:multiLevelType w:val="multilevel"/>
    <w:tmpl w:val="C986A75E"/>
    <w:lvl w:ilvl="0">
      <w:start w:val="1"/>
      <w:numFmt w:val="decimal"/>
      <w:lvlText w:val="%1"/>
      <w:lvlJc w:val="left"/>
      <w:pPr>
        <w:ind w:left="360" w:hanging="360"/>
      </w:pPr>
      <w:rPr>
        <w:rFonts w:hint="default"/>
        <w:i/>
      </w:rPr>
    </w:lvl>
    <w:lvl w:ilvl="1">
      <w:start w:val="2"/>
      <w:numFmt w:val="decimal"/>
      <w:lvlText w:val="%1.%2"/>
      <w:lvlJc w:val="left"/>
      <w:pPr>
        <w:ind w:left="1440" w:hanging="72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6120" w:hanging="180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920" w:hanging="2160"/>
      </w:pPr>
      <w:rPr>
        <w:rFonts w:hint="default"/>
        <w:i/>
      </w:rPr>
    </w:lvl>
  </w:abstractNum>
  <w:abstractNum w:abstractNumId="4" w15:restartNumberingAfterBreak="0">
    <w:nsid w:val="13D92555"/>
    <w:multiLevelType w:val="hybridMultilevel"/>
    <w:tmpl w:val="E7DC72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C1934B8"/>
    <w:multiLevelType w:val="hybridMultilevel"/>
    <w:tmpl w:val="6418882A"/>
    <w:lvl w:ilvl="0" w:tplc="42C63194">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989810">
      <w:start w:val="1"/>
      <w:numFmt w:val="bullet"/>
      <w:lvlText w:val="o"/>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26E2AA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EE85E9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82222C">
      <w:start w:val="1"/>
      <w:numFmt w:val="bullet"/>
      <w:lvlText w:val="o"/>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CE254A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9145590">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BEDCD2">
      <w:start w:val="1"/>
      <w:numFmt w:val="bullet"/>
      <w:lvlText w:val="o"/>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D688F2C">
      <w:start w:val="1"/>
      <w:numFmt w:val="bullet"/>
      <w:lvlText w:val="▪"/>
      <w:lvlJc w:val="left"/>
      <w:pPr>
        <w:ind w:left="7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E9C077F"/>
    <w:multiLevelType w:val="hybridMultilevel"/>
    <w:tmpl w:val="64C67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D05546"/>
    <w:multiLevelType w:val="hybridMultilevel"/>
    <w:tmpl w:val="DC16B6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3775242"/>
    <w:multiLevelType w:val="multilevel"/>
    <w:tmpl w:val="CC74349E"/>
    <w:lvl w:ilvl="0">
      <w:start w:val="1"/>
      <w:numFmt w:val="decimal"/>
      <w:lvlText w:val="%1"/>
      <w:lvlJc w:val="left"/>
      <w:pPr>
        <w:ind w:left="384" w:hanging="384"/>
      </w:pPr>
      <w:rPr>
        <w:rFonts w:eastAsia="ArialMT" w:hint="default"/>
      </w:rPr>
    </w:lvl>
    <w:lvl w:ilvl="1">
      <w:start w:val="1"/>
      <w:numFmt w:val="decimal"/>
      <w:lvlText w:val="%1.%2"/>
      <w:lvlJc w:val="left"/>
      <w:pPr>
        <w:ind w:left="384" w:hanging="384"/>
      </w:pPr>
      <w:rPr>
        <w:rFonts w:eastAsia="ArialMT" w:hint="default"/>
        <w:b/>
      </w:rPr>
    </w:lvl>
    <w:lvl w:ilvl="2">
      <w:start w:val="1"/>
      <w:numFmt w:val="decimal"/>
      <w:lvlText w:val="%1.%2.%3"/>
      <w:lvlJc w:val="left"/>
      <w:pPr>
        <w:ind w:left="720" w:hanging="720"/>
      </w:pPr>
      <w:rPr>
        <w:rFonts w:eastAsia="ArialMT" w:hint="default"/>
      </w:rPr>
    </w:lvl>
    <w:lvl w:ilvl="3">
      <w:start w:val="1"/>
      <w:numFmt w:val="decimal"/>
      <w:lvlText w:val="%1.%2.%3.%4"/>
      <w:lvlJc w:val="left"/>
      <w:pPr>
        <w:ind w:left="720" w:hanging="720"/>
      </w:pPr>
      <w:rPr>
        <w:rFonts w:eastAsia="ArialMT" w:hint="default"/>
      </w:rPr>
    </w:lvl>
    <w:lvl w:ilvl="4">
      <w:start w:val="1"/>
      <w:numFmt w:val="decimal"/>
      <w:lvlText w:val="%1.%2.%3.%4.%5"/>
      <w:lvlJc w:val="left"/>
      <w:pPr>
        <w:ind w:left="1080" w:hanging="1080"/>
      </w:pPr>
      <w:rPr>
        <w:rFonts w:eastAsia="ArialMT" w:hint="default"/>
      </w:rPr>
    </w:lvl>
    <w:lvl w:ilvl="5">
      <w:start w:val="1"/>
      <w:numFmt w:val="decimal"/>
      <w:lvlText w:val="%1.%2.%3.%4.%5.%6"/>
      <w:lvlJc w:val="left"/>
      <w:pPr>
        <w:ind w:left="1080" w:hanging="1080"/>
      </w:pPr>
      <w:rPr>
        <w:rFonts w:eastAsia="ArialMT" w:hint="default"/>
      </w:rPr>
    </w:lvl>
    <w:lvl w:ilvl="6">
      <w:start w:val="1"/>
      <w:numFmt w:val="decimal"/>
      <w:lvlText w:val="%1.%2.%3.%4.%5.%6.%7"/>
      <w:lvlJc w:val="left"/>
      <w:pPr>
        <w:ind w:left="1440" w:hanging="1440"/>
      </w:pPr>
      <w:rPr>
        <w:rFonts w:eastAsia="ArialMT" w:hint="default"/>
      </w:rPr>
    </w:lvl>
    <w:lvl w:ilvl="7">
      <w:start w:val="1"/>
      <w:numFmt w:val="decimal"/>
      <w:lvlText w:val="%1.%2.%3.%4.%5.%6.%7.%8"/>
      <w:lvlJc w:val="left"/>
      <w:pPr>
        <w:ind w:left="1440" w:hanging="1440"/>
      </w:pPr>
      <w:rPr>
        <w:rFonts w:eastAsia="ArialMT" w:hint="default"/>
      </w:rPr>
    </w:lvl>
    <w:lvl w:ilvl="8">
      <w:start w:val="1"/>
      <w:numFmt w:val="decimal"/>
      <w:lvlText w:val="%1.%2.%3.%4.%5.%6.%7.%8.%9"/>
      <w:lvlJc w:val="left"/>
      <w:pPr>
        <w:ind w:left="1440" w:hanging="1440"/>
      </w:pPr>
      <w:rPr>
        <w:rFonts w:eastAsia="ArialMT" w:hint="default"/>
      </w:rPr>
    </w:lvl>
  </w:abstractNum>
  <w:abstractNum w:abstractNumId="9" w15:restartNumberingAfterBreak="0">
    <w:nsid w:val="24DC4B9D"/>
    <w:multiLevelType w:val="hybridMultilevel"/>
    <w:tmpl w:val="1A5A41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5C70D78"/>
    <w:multiLevelType w:val="multilevel"/>
    <w:tmpl w:val="D852650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0137D9A"/>
    <w:multiLevelType w:val="multilevel"/>
    <w:tmpl w:val="A1802880"/>
    <w:lvl w:ilvl="0">
      <w:start w:val="1"/>
      <w:numFmt w:val="decimal"/>
      <w:lvlText w:val="%1"/>
      <w:lvlJc w:val="left"/>
      <w:pPr>
        <w:ind w:left="540" w:hanging="540"/>
      </w:pPr>
      <w:rPr>
        <w:rFonts w:hint="default"/>
        <w:sz w:val="36"/>
        <w:u w:val="none"/>
      </w:rPr>
    </w:lvl>
    <w:lvl w:ilvl="1">
      <w:start w:val="1"/>
      <w:numFmt w:val="decimal"/>
      <w:lvlText w:val="%1.%2"/>
      <w:lvlJc w:val="left"/>
      <w:pPr>
        <w:ind w:left="720" w:hanging="720"/>
      </w:pPr>
      <w:rPr>
        <w:rFonts w:hint="default"/>
        <w:sz w:val="36"/>
        <w:u w:val="none"/>
      </w:rPr>
    </w:lvl>
    <w:lvl w:ilvl="2">
      <w:start w:val="1"/>
      <w:numFmt w:val="decimal"/>
      <w:lvlText w:val="%1.%2.%3"/>
      <w:lvlJc w:val="left"/>
      <w:pPr>
        <w:ind w:left="720" w:hanging="720"/>
      </w:pPr>
      <w:rPr>
        <w:rFonts w:hint="default"/>
        <w:sz w:val="36"/>
        <w:u w:val="none"/>
      </w:rPr>
    </w:lvl>
    <w:lvl w:ilvl="3">
      <w:start w:val="1"/>
      <w:numFmt w:val="decimal"/>
      <w:lvlText w:val="%1.%2.%3.%4"/>
      <w:lvlJc w:val="left"/>
      <w:pPr>
        <w:ind w:left="1080" w:hanging="1080"/>
      </w:pPr>
      <w:rPr>
        <w:rFonts w:hint="default"/>
        <w:sz w:val="36"/>
        <w:u w:val="none"/>
      </w:rPr>
    </w:lvl>
    <w:lvl w:ilvl="4">
      <w:start w:val="1"/>
      <w:numFmt w:val="decimal"/>
      <w:lvlText w:val="%1.%2.%3.%4.%5"/>
      <w:lvlJc w:val="left"/>
      <w:pPr>
        <w:ind w:left="1440" w:hanging="1440"/>
      </w:pPr>
      <w:rPr>
        <w:rFonts w:hint="default"/>
        <w:sz w:val="36"/>
        <w:u w:val="none"/>
      </w:rPr>
    </w:lvl>
    <w:lvl w:ilvl="5">
      <w:start w:val="1"/>
      <w:numFmt w:val="decimal"/>
      <w:lvlText w:val="%1.%2.%3.%4.%5.%6"/>
      <w:lvlJc w:val="left"/>
      <w:pPr>
        <w:ind w:left="1440" w:hanging="1440"/>
      </w:pPr>
      <w:rPr>
        <w:rFonts w:hint="default"/>
        <w:sz w:val="36"/>
        <w:u w:val="none"/>
      </w:rPr>
    </w:lvl>
    <w:lvl w:ilvl="6">
      <w:start w:val="1"/>
      <w:numFmt w:val="decimal"/>
      <w:lvlText w:val="%1.%2.%3.%4.%5.%6.%7"/>
      <w:lvlJc w:val="left"/>
      <w:pPr>
        <w:ind w:left="1800" w:hanging="1800"/>
      </w:pPr>
      <w:rPr>
        <w:rFonts w:hint="default"/>
        <w:sz w:val="36"/>
        <w:u w:val="none"/>
      </w:rPr>
    </w:lvl>
    <w:lvl w:ilvl="7">
      <w:start w:val="1"/>
      <w:numFmt w:val="decimal"/>
      <w:lvlText w:val="%1.%2.%3.%4.%5.%6.%7.%8"/>
      <w:lvlJc w:val="left"/>
      <w:pPr>
        <w:ind w:left="2160" w:hanging="2160"/>
      </w:pPr>
      <w:rPr>
        <w:rFonts w:hint="default"/>
        <w:sz w:val="36"/>
        <w:u w:val="none"/>
      </w:rPr>
    </w:lvl>
    <w:lvl w:ilvl="8">
      <w:start w:val="1"/>
      <w:numFmt w:val="decimal"/>
      <w:lvlText w:val="%1.%2.%3.%4.%5.%6.%7.%8.%9"/>
      <w:lvlJc w:val="left"/>
      <w:pPr>
        <w:ind w:left="2160" w:hanging="2160"/>
      </w:pPr>
      <w:rPr>
        <w:rFonts w:hint="default"/>
        <w:sz w:val="36"/>
        <w:u w:val="none"/>
      </w:rPr>
    </w:lvl>
  </w:abstractNum>
  <w:abstractNum w:abstractNumId="12" w15:restartNumberingAfterBreak="0">
    <w:nsid w:val="31AE2B05"/>
    <w:multiLevelType w:val="hybridMultilevel"/>
    <w:tmpl w:val="26363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2616573"/>
    <w:multiLevelType w:val="hybridMultilevel"/>
    <w:tmpl w:val="6DD63C5C"/>
    <w:lvl w:ilvl="0" w:tplc="12EAFD0A">
      <w:start w:val="1"/>
      <w:numFmt w:val="bullet"/>
      <w:lvlText w:val="●"/>
      <w:lvlJc w:val="left"/>
      <w:pPr>
        <w:ind w:left="7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03AD6DC">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1AA63D2">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43C79C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86848C">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C1CABC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4C6EA0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723A1E">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D5467DE">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26D3068"/>
    <w:multiLevelType w:val="hybridMultilevel"/>
    <w:tmpl w:val="8ECA64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83B765A"/>
    <w:multiLevelType w:val="hybridMultilevel"/>
    <w:tmpl w:val="D5A498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2B4271"/>
    <w:multiLevelType w:val="multilevel"/>
    <w:tmpl w:val="4A0C2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631891"/>
    <w:multiLevelType w:val="hybridMultilevel"/>
    <w:tmpl w:val="DA6C00E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3B306D36"/>
    <w:multiLevelType w:val="hybridMultilevel"/>
    <w:tmpl w:val="EE64F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E5F15E6"/>
    <w:multiLevelType w:val="multilevel"/>
    <w:tmpl w:val="917A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839F3"/>
    <w:multiLevelType w:val="hybridMultilevel"/>
    <w:tmpl w:val="BE6E12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2272254"/>
    <w:multiLevelType w:val="hybridMultilevel"/>
    <w:tmpl w:val="596E2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62C5086"/>
    <w:multiLevelType w:val="hybridMultilevel"/>
    <w:tmpl w:val="86947992"/>
    <w:lvl w:ilvl="0" w:tplc="D48A4320">
      <w:start w:val="1"/>
      <w:numFmt w:val="decimal"/>
      <w:lvlText w:val="%1."/>
      <w:lvlJc w:val="left"/>
      <w:pPr>
        <w:ind w:left="3479" w:hanging="360"/>
      </w:pPr>
      <w:rPr>
        <w:rFonts w:hint="default"/>
      </w:rPr>
    </w:lvl>
    <w:lvl w:ilvl="1" w:tplc="40090019" w:tentative="1">
      <w:start w:val="1"/>
      <w:numFmt w:val="lowerLetter"/>
      <w:lvlText w:val="%2."/>
      <w:lvlJc w:val="left"/>
      <w:pPr>
        <w:ind w:left="4199" w:hanging="360"/>
      </w:pPr>
    </w:lvl>
    <w:lvl w:ilvl="2" w:tplc="4009001B" w:tentative="1">
      <w:start w:val="1"/>
      <w:numFmt w:val="lowerRoman"/>
      <w:lvlText w:val="%3."/>
      <w:lvlJc w:val="right"/>
      <w:pPr>
        <w:ind w:left="4919" w:hanging="180"/>
      </w:pPr>
    </w:lvl>
    <w:lvl w:ilvl="3" w:tplc="4009000F" w:tentative="1">
      <w:start w:val="1"/>
      <w:numFmt w:val="decimal"/>
      <w:lvlText w:val="%4."/>
      <w:lvlJc w:val="left"/>
      <w:pPr>
        <w:ind w:left="5639" w:hanging="360"/>
      </w:pPr>
    </w:lvl>
    <w:lvl w:ilvl="4" w:tplc="40090019" w:tentative="1">
      <w:start w:val="1"/>
      <w:numFmt w:val="lowerLetter"/>
      <w:lvlText w:val="%5."/>
      <w:lvlJc w:val="left"/>
      <w:pPr>
        <w:ind w:left="6359" w:hanging="360"/>
      </w:pPr>
    </w:lvl>
    <w:lvl w:ilvl="5" w:tplc="4009001B" w:tentative="1">
      <w:start w:val="1"/>
      <w:numFmt w:val="lowerRoman"/>
      <w:lvlText w:val="%6."/>
      <w:lvlJc w:val="right"/>
      <w:pPr>
        <w:ind w:left="7079" w:hanging="180"/>
      </w:pPr>
    </w:lvl>
    <w:lvl w:ilvl="6" w:tplc="4009000F" w:tentative="1">
      <w:start w:val="1"/>
      <w:numFmt w:val="decimal"/>
      <w:lvlText w:val="%7."/>
      <w:lvlJc w:val="left"/>
      <w:pPr>
        <w:ind w:left="7799" w:hanging="360"/>
      </w:pPr>
    </w:lvl>
    <w:lvl w:ilvl="7" w:tplc="40090019" w:tentative="1">
      <w:start w:val="1"/>
      <w:numFmt w:val="lowerLetter"/>
      <w:lvlText w:val="%8."/>
      <w:lvlJc w:val="left"/>
      <w:pPr>
        <w:ind w:left="8519" w:hanging="360"/>
      </w:pPr>
    </w:lvl>
    <w:lvl w:ilvl="8" w:tplc="4009001B" w:tentative="1">
      <w:start w:val="1"/>
      <w:numFmt w:val="lowerRoman"/>
      <w:lvlText w:val="%9."/>
      <w:lvlJc w:val="right"/>
      <w:pPr>
        <w:ind w:left="9239" w:hanging="180"/>
      </w:pPr>
    </w:lvl>
  </w:abstractNum>
  <w:abstractNum w:abstractNumId="23" w15:restartNumberingAfterBreak="0">
    <w:nsid w:val="4F1947B4"/>
    <w:multiLevelType w:val="hybridMultilevel"/>
    <w:tmpl w:val="18105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3994A0C"/>
    <w:multiLevelType w:val="hybridMultilevel"/>
    <w:tmpl w:val="97169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5E7574C"/>
    <w:multiLevelType w:val="hybridMultilevel"/>
    <w:tmpl w:val="757A4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677519F"/>
    <w:multiLevelType w:val="hybridMultilevel"/>
    <w:tmpl w:val="FAAE7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6AB360C"/>
    <w:multiLevelType w:val="hybridMultilevel"/>
    <w:tmpl w:val="81761E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58D40043"/>
    <w:multiLevelType w:val="hybridMultilevel"/>
    <w:tmpl w:val="854C4536"/>
    <w:lvl w:ilvl="0" w:tplc="737A8F94">
      <w:start w:val="1"/>
      <w:numFmt w:val="bullet"/>
      <w:lvlText w:val=""/>
      <w:lvlJc w:val="left"/>
      <w:pPr>
        <w:ind w:left="144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6286BE7"/>
    <w:multiLevelType w:val="hybridMultilevel"/>
    <w:tmpl w:val="E24AC4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A285242"/>
    <w:multiLevelType w:val="multilevel"/>
    <w:tmpl w:val="0F9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B436A2"/>
    <w:multiLevelType w:val="hybridMultilevel"/>
    <w:tmpl w:val="48F0A486"/>
    <w:lvl w:ilvl="0" w:tplc="54C815A2">
      <w:start w:val="1"/>
      <w:numFmt w:val="bullet"/>
      <w:lvlText w:val="●"/>
      <w:lvlJc w:val="left"/>
      <w:pPr>
        <w:ind w:left="7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40E28E26">
      <w:start w:val="1"/>
      <w:numFmt w:val="bullet"/>
      <w:lvlText w:val="o"/>
      <w:lvlJc w:val="left"/>
      <w:pPr>
        <w:ind w:left="14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E90350A">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3E186DFE">
      <w:start w:val="1"/>
      <w:numFmt w:val="bullet"/>
      <w:lvlText w:val="•"/>
      <w:lvlJc w:val="left"/>
      <w:pPr>
        <w:ind w:left="28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9FA34DC">
      <w:start w:val="1"/>
      <w:numFmt w:val="bullet"/>
      <w:lvlText w:val="o"/>
      <w:lvlJc w:val="left"/>
      <w:pPr>
        <w:ind w:left="36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4BE88E5E">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2F06DF8">
      <w:start w:val="1"/>
      <w:numFmt w:val="bullet"/>
      <w:lvlText w:val="•"/>
      <w:lvlJc w:val="left"/>
      <w:pPr>
        <w:ind w:left="50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7AC0D40">
      <w:start w:val="1"/>
      <w:numFmt w:val="bullet"/>
      <w:lvlText w:val="o"/>
      <w:lvlJc w:val="left"/>
      <w:pPr>
        <w:ind w:left="57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39AFCF4">
      <w:start w:val="1"/>
      <w:numFmt w:val="bullet"/>
      <w:lvlText w:val="▪"/>
      <w:lvlJc w:val="left"/>
      <w:pPr>
        <w:ind w:left="64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2" w15:restartNumberingAfterBreak="0">
    <w:nsid w:val="701D614C"/>
    <w:multiLevelType w:val="multilevel"/>
    <w:tmpl w:val="EA6E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64035"/>
    <w:multiLevelType w:val="hybridMultilevel"/>
    <w:tmpl w:val="E52684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1BB7063"/>
    <w:multiLevelType w:val="hybridMultilevel"/>
    <w:tmpl w:val="937695BC"/>
    <w:lvl w:ilvl="0" w:tplc="EF24D512">
      <w:start w:val="1"/>
      <w:numFmt w:val="bullet"/>
      <w:lvlText w:val="●"/>
      <w:lvlJc w:val="left"/>
      <w:pPr>
        <w:ind w:left="7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DBADDF2">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3A4673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AAACE1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AAD2F0">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FEAB04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C44961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88509C">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D6A8CA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21732FB"/>
    <w:multiLevelType w:val="hybridMultilevel"/>
    <w:tmpl w:val="7FE286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3025E73"/>
    <w:multiLevelType w:val="multilevel"/>
    <w:tmpl w:val="701C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D01689"/>
    <w:multiLevelType w:val="hybridMultilevel"/>
    <w:tmpl w:val="928459C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15:restartNumberingAfterBreak="0">
    <w:nsid w:val="75045E58"/>
    <w:multiLevelType w:val="hybridMultilevel"/>
    <w:tmpl w:val="DBCCDC4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7E7F331F"/>
    <w:multiLevelType w:val="hybridMultilevel"/>
    <w:tmpl w:val="BAD0405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15"/>
  </w:num>
  <w:num w:numId="2">
    <w:abstractNumId w:val="11"/>
  </w:num>
  <w:num w:numId="3">
    <w:abstractNumId w:val="28"/>
  </w:num>
  <w:num w:numId="4">
    <w:abstractNumId w:val="10"/>
  </w:num>
  <w:num w:numId="5">
    <w:abstractNumId w:val="7"/>
  </w:num>
  <w:num w:numId="6">
    <w:abstractNumId w:val="38"/>
  </w:num>
  <w:num w:numId="7">
    <w:abstractNumId w:val="33"/>
  </w:num>
  <w:num w:numId="8">
    <w:abstractNumId w:val="24"/>
  </w:num>
  <w:num w:numId="9">
    <w:abstractNumId w:val="35"/>
  </w:num>
  <w:num w:numId="10">
    <w:abstractNumId w:val="27"/>
  </w:num>
  <w:num w:numId="11">
    <w:abstractNumId w:val="19"/>
  </w:num>
  <w:num w:numId="12">
    <w:abstractNumId w:val="30"/>
  </w:num>
  <w:num w:numId="13">
    <w:abstractNumId w:val="39"/>
  </w:num>
  <w:num w:numId="14">
    <w:abstractNumId w:val="23"/>
  </w:num>
  <w:num w:numId="15">
    <w:abstractNumId w:val="9"/>
  </w:num>
  <w:num w:numId="16">
    <w:abstractNumId w:val="29"/>
  </w:num>
  <w:num w:numId="17">
    <w:abstractNumId w:val="3"/>
  </w:num>
  <w:num w:numId="18">
    <w:abstractNumId w:val="6"/>
  </w:num>
  <w:num w:numId="19">
    <w:abstractNumId w:val="14"/>
  </w:num>
  <w:num w:numId="20">
    <w:abstractNumId w:val="17"/>
  </w:num>
  <w:num w:numId="21">
    <w:abstractNumId w:val="37"/>
  </w:num>
  <w:num w:numId="22">
    <w:abstractNumId w:val="2"/>
  </w:num>
  <w:num w:numId="23">
    <w:abstractNumId w:val="4"/>
  </w:num>
  <w:num w:numId="24">
    <w:abstractNumId w:val="18"/>
  </w:num>
  <w:num w:numId="25">
    <w:abstractNumId w:val="21"/>
  </w:num>
  <w:num w:numId="26">
    <w:abstractNumId w:val="26"/>
  </w:num>
  <w:num w:numId="27">
    <w:abstractNumId w:val="20"/>
  </w:num>
  <w:num w:numId="28">
    <w:abstractNumId w:val="1"/>
  </w:num>
  <w:num w:numId="29">
    <w:abstractNumId w:val="0"/>
  </w:num>
  <w:num w:numId="30">
    <w:abstractNumId w:val="25"/>
  </w:num>
  <w:num w:numId="31">
    <w:abstractNumId w:val="8"/>
  </w:num>
  <w:num w:numId="32">
    <w:abstractNumId w:val="34"/>
  </w:num>
  <w:num w:numId="33">
    <w:abstractNumId w:val="12"/>
  </w:num>
  <w:num w:numId="34">
    <w:abstractNumId w:val="13"/>
  </w:num>
  <w:num w:numId="35">
    <w:abstractNumId w:val="5"/>
  </w:num>
  <w:num w:numId="36">
    <w:abstractNumId w:val="31"/>
  </w:num>
  <w:num w:numId="37">
    <w:abstractNumId w:val="32"/>
  </w:num>
  <w:num w:numId="38">
    <w:abstractNumId w:val="16"/>
  </w:num>
  <w:num w:numId="39">
    <w:abstractNumId w:val="3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BE"/>
    <w:rsid w:val="000059B8"/>
    <w:rsid w:val="000173E8"/>
    <w:rsid w:val="00021F6B"/>
    <w:rsid w:val="000228A4"/>
    <w:rsid w:val="00023448"/>
    <w:rsid w:val="00037342"/>
    <w:rsid w:val="00037779"/>
    <w:rsid w:val="0004327D"/>
    <w:rsid w:val="00072683"/>
    <w:rsid w:val="00083F03"/>
    <w:rsid w:val="0008719C"/>
    <w:rsid w:val="00091838"/>
    <w:rsid w:val="0009727A"/>
    <w:rsid w:val="000C3CE3"/>
    <w:rsid w:val="000F782B"/>
    <w:rsid w:val="001022E9"/>
    <w:rsid w:val="00126702"/>
    <w:rsid w:val="00150DD7"/>
    <w:rsid w:val="00153AFC"/>
    <w:rsid w:val="00182AAF"/>
    <w:rsid w:val="001A3F84"/>
    <w:rsid w:val="001B572C"/>
    <w:rsid w:val="001C2A7D"/>
    <w:rsid w:val="001C614D"/>
    <w:rsid w:val="001D19A9"/>
    <w:rsid w:val="001E1879"/>
    <w:rsid w:val="001E505F"/>
    <w:rsid w:val="001E6CC5"/>
    <w:rsid w:val="001F2F5E"/>
    <w:rsid w:val="002051F6"/>
    <w:rsid w:val="00214CEF"/>
    <w:rsid w:val="0023431B"/>
    <w:rsid w:val="00234B4C"/>
    <w:rsid w:val="00236900"/>
    <w:rsid w:val="002538C8"/>
    <w:rsid w:val="002646EE"/>
    <w:rsid w:val="002807C6"/>
    <w:rsid w:val="0028295A"/>
    <w:rsid w:val="00282C9E"/>
    <w:rsid w:val="002A5FE7"/>
    <w:rsid w:val="002D6B34"/>
    <w:rsid w:val="002E3A0C"/>
    <w:rsid w:val="00300E0D"/>
    <w:rsid w:val="0032167F"/>
    <w:rsid w:val="00327325"/>
    <w:rsid w:val="00351DD1"/>
    <w:rsid w:val="003878D3"/>
    <w:rsid w:val="00395AAA"/>
    <w:rsid w:val="003B5822"/>
    <w:rsid w:val="003C1D18"/>
    <w:rsid w:val="003C214A"/>
    <w:rsid w:val="003C66D6"/>
    <w:rsid w:val="003D0D4B"/>
    <w:rsid w:val="003E1361"/>
    <w:rsid w:val="003E5875"/>
    <w:rsid w:val="003E620D"/>
    <w:rsid w:val="00416C55"/>
    <w:rsid w:val="00422175"/>
    <w:rsid w:val="004420DA"/>
    <w:rsid w:val="00444C4F"/>
    <w:rsid w:val="00476CC4"/>
    <w:rsid w:val="004803EF"/>
    <w:rsid w:val="004912F4"/>
    <w:rsid w:val="004A0789"/>
    <w:rsid w:val="004A0BCE"/>
    <w:rsid w:val="004B43D6"/>
    <w:rsid w:val="004C771E"/>
    <w:rsid w:val="004D11A5"/>
    <w:rsid w:val="004E54C7"/>
    <w:rsid w:val="004F5F53"/>
    <w:rsid w:val="005311D4"/>
    <w:rsid w:val="00532ECC"/>
    <w:rsid w:val="00533022"/>
    <w:rsid w:val="005563AF"/>
    <w:rsid w:val="005838F7"/>
    <w:rsid w:val="005A03E0"/>
    <w:rsid w:val="005B13AB"/>
    <w:rsid w:val="005D6212"/>
    <w:rsid w:val="005F02E3"/>
    <w:rsid w:val="00605F44"/>
    <w:rsid w:val="00615E90"/>
    <w:rsid w:val="00633F77"/>
    <w:rsid w:val="00646F3F"/>
    <w:rsid w:val="0066548A"/>
    <w:rsid w:val="00672D8C"/>
    <w:rsid w:val="00674BE6"/>
    <w:rsid w:val="0069100A"/>
    <w:rsid w:val="006A5663"/>
    <w:rsid w:val="006B083A"/>
    <w:rsid w:val="006C00D1"/>
    <w:rsid w:val="006D4AF2"/>
    <w:rsid w:val="006E0E0F"/>
    <w:rsid w:val="006F52E0"/>
    <w:rsid w:val="00702071"/>
    <w:rsid w:val="00703FD1"/>
    <w:rsid w:val="007211EF"/>
    <w:rsid w:val="0073147E"/>
    <w:rsid w:val="0073253F"/>
    <w:rsid w:val="00755E6F"/>
    <w:rsid w:val="00760B4B"/>
    <w:rsid w:val="00765090"/>
    <w:rsid w:val="00765E7D"/>
    <w:rsid w:val="00777BC1"/>
    <w:rsid w:val="007943F4"/>
    <w:rsid w:val="007A0E42"/>
    <w:rsid w:val="007A51B3"/>
    <w:rsid w:val="007B0ADC"/>
    <w:rsid w:val="007F4C0C"/>
    <w:rsid w:val="00806246"/>
    <w:rsid w:val="008223EE"/>
    <w:rsid w:val="00831AAB"/>
    <w:rsid w:val="0083283C"/>
    <w:rsid w:val="00845A97"/>
    <w:rsid w:val="00857813"/>
    <w:rsid w:val="00883F22"/>
    <w:rsid w:val="0089116E"/>
    <w:rsid w:val="008A5CBC"/>
    <w:rsid w:val="008B41DB"/>
    <w:rsid w:val="008C619A"/>
    <w:rsid w:val="008D4E55"/>
    <w:rsid w:val="008E03ED"/>
    <w:rsid w:val="008F12CE"/>
    <w:rsid w:val="008F383A"/>
    <w:rsid w:val="00903EA3"/>
    <w:rsid w:val="009109DB"/>
    <w:rsid w:val="009216F8"/>
    <w:rsid w:val="00921C61"/>
    <w:rsid w:val="0094376E"/>
    <w:rsid w:val="00947B63"/>
    <w:rsid w:val="00952DFA"/>
    <w:rsid w:val="00962D63"/>
    <w:rsid w:val="00976471"/>
    <w:rsid w:val="00983C0D"/>
    <w:rsid w:val="00990DAD"/>
    <w:rsid w:val="009B1DD2"/>
    <w:rsid w:val="009B3481"/>
    <w:rsid w:val="009D6FC4"/>
    <w:rsid w:val="009F02E9"/>
    <w:rsid w:val="00A05AF4"/>
    <w:rsid w:val="00A24120"/>
    <w:rsid w:val="00A359D9"/>
    <w:rsid w:val="00A479CE"/>
    <w:rsid w:val="00A54FAA"/>
    <w:rsid w:val="00A56B85"/>
    <w:rsid w:val="00A637E1"/>
    <w:rsid w:val="00A72788"/>
    <w:rsid w:val="00A74EE4"/>
    <w:rsid w:val="00A82135"/>
    <w:rsid w:val="00A84C31"/>
    <w:rsid w:val="00A960E6"/>
    <w:rsid w:val="00AA4EE5"/>
    <w:rsid w:val="00AC7B89"/>
    <w:rsid w:val="00AD0C52"/>
    <w:rsid w:val="00AD1860"/>
    <w:rsid w:val="00AF12C2"/>
    <w:rsid w:val="00B33251"/>
    <w:rsid w:val="00B654A7"/>
    <w:rsid w:val="00B655E6"/>
    <w:rsid w:val="00B67BE1"/>
    <w:rsid w:val="00B74F8F"/>
    <w:rsid w:val="00B8628A"/>
    <w:rsid w:val="00B863B5"/>
    <w:rsid w:val="00B90FAF"/>
    <w:rsid w:val="00BA16D6"/>
    <w:rsid w:val="00BA7806"/>
    <w:rsid w:val="00BC4376"/>
    <w:rsid w:val="00BC7E9C"/>
    <w:rsid w:val="00BD4356"/>
    <w:rsid w:val="00BF2A28"/>
    <w:rsid w:val="00C01CA0"/>
    <w:rsid w:val="00C022F7"/>
    <w:rsid w:val="00C042D6"/>
    <w:rsid w:val="00C10683"/>
    <w:rsid w:val="00C2168A"/>
    <w:rsid w:val="00C36252"/>
    <w:rsid w:val="00C45005"/>
    <w:rsid w:val="00C573D0"/>
    <w:rsid w:val="00C70D14"/>
    <w:rsid w:val="00C80542"/>
    <w:rsid w:val="00C82344"/>
    <w:rsid w:val="00C9002D"/>
    <w:rsid w:val="00C936A3"/>
    <w:rsid w:val="00CB2BBE"/>
    <w:rsid w:val="00CC3999"/>
    <w:rsid w:val="00D2094E"/>
    <w:rsid w:val="00D43FE2"/>
    <w:rsid w:val="00D638F9"/>
    <w:rsid w:val="00D8727E"/>
    <w:rsid w:val="00D94C3B"/>
    <w:rsid w:val="00DB7189"/>
    <w:rsid w:val="00DC0A59"/>
    <w:rsid w:val="00DF4B10"/>
    <w:rsid w:val="00E05050"/>
    <w:rsid w:val="00E05836"/>
    <w:rsid w:val="00E12CAA"/>
    <w:rsid w:val="00E1701B"/>
    <w:rsid w:val="00E57F95"/>
    <w:rsid w:val="00E640DC"/>
    <w:rsid w:val="00E650EB"/>
    <w:rsid w:val="00E9163B"/>
    <w:rsid w:val="00E97480"/>
    <w:rsid w:val="00EA7093"/>
    <w:rsid w:val="00EB1B27"/>
    <w:rsid w:val="00ED4D39"/>
    <w:rsid w:val="00EE419D"/>
    <w:rsid w:val="00F07E64"/>
    <w:rsid w:val="00F10E4F"/>
    <w:rsid w:val="00F435B8"/>
    <w:rsid w:val="00F4438A"/>
    <w:rsid w:val="00F4674D"/>
    <w:rsid w:val="00F55408"/>
    <w:rsid w:val="00F5627F"/>
    <w:rsid w:val="00F578AA"/>
    <w:rsid w:val="00FA37DA"/>
    <w:rsid w:val="00FB1603"/>
    <w:rsid w:val="00FB6558"/>
    <w:rsid w:val="00FC18C0"/>
    <w:rsid w:val="00FE3CD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04341"/>
  <w15:chartTrackingRefBased/>
  <w15:docId w15:val="{75611591-634F-46AD-859C-BA3F356F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4912F4"/>
    <w:pPr>
      <w:keepNext/>
      <w:keepLines/>
      <w:spacing w:before="240" w:after="0"/>
      <w:jc w:val="center"/>
      <w:outlineLvl w:val="0"/>
    </w:pPr>
    <w:rPr>
      <w:rFonts w:ascii="Times New Roman" w:eastAsia="ArialMT" w:hAnsi="Times New Roman" w:cs="Times New Roman"/>
      <w:b/>
      <w:color w:val="000000" w:themeColor="text1"/>
      <w:sz w:val="28"/>
      <w:szCs w:val="28"/>
      <w:bdr w:val="none" w:sz="0" w:space="0" w:color="auto" w:frame="1"/>
    </w:rPr>
  </w:style>
  <w:style w:type="paragraph" w:styleId="Heading2">
    <w:name w:val="heading 2"/>
    <w:basedOn w:val="Normal"/>
    <w:next w:val="Normal"/>
    <w:link w:val="Heading2Char"/>
    <w:autoRedefine/>
    <w:uiPriority w:val="9"/>
    <w:unhideWhenUsed/>
    <w:qFormat/>
    <w:rsid w:val="00DB7189"/>
    <w:pPr>
      <w:keepNext/>
      <w:keepLines/>
      <w:spacing w:before="40" w:after="0"/>
      <w:outlineLvl w:val="1"/>
    </w:pPr>
    <w:rPr>
      <w:rFonts w:ascii="Times New Roman" w:eastAsia="ArialMT" w:hAnsi="Times New Roman" w:cs="Times New Roman"/>
      <w:b/>
      <w:color w:val="2E74B5" w:themeColor="accent1" w:themeShade="BF"/>
      <w:sz w:val="26"/>
      <w:szCs w:val="26"/>
      <w:lang w:eastAsia="en-IN"/>
    </w:rPr>
  </w:style>
  <w:style w:type="paragraph" w:styleId="Heading3">
    <w:name w:val="heading 3"/>
    <w:basedOn w:val="Normal"/>
    <w:next w:val="Normal"/>
    <w:link w:val="Heading3Char"/>
    <w:uiPriority w:val="9"/>
    <w:unhideWhenUsed/>
    <w:qFormat/>
    <w:rsid w:val="00C70D14"/>
    <w:pPr>
      <w:keepNext/>
      <w:keepLines/>
      <w:spacing w:before="40" w:after="0"/>
      <w:outlineLvl w:val="2"/>
    </w:pPr>
    <w:rPr>
      <w:rFonts w:asciiTheme="majorHAnsi" w:eastAsia="ArialMT"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D0D4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7189"/>
    <w:rPr>
      <w:rFonts w:ascii="Times New Roman" w:eastAsia="ArialMT" w:hAnsi="Times New Roman" w:cs="Times New Roman"/>
      <w:b/>
      <w:color w:val="2E74B5" w:themeColor="accent1" w:themeShade="BF"/>
      <w:sz w:val="26"/>
      <w:szCs w:val="26"/>
      <w:lang w:eastAsia="en-IN"/>
    </w:rPr>
  </w:style>
  <w:style w:type="character" w:styleId="Emphasis">
    <w:name w:val="Emphasis"/>
    <w:basedOn w:val="DefaultParagraphFont"/>
    <w:uiPriority w:val="20"/>
    <w:qFormat/>
    <w:rsid w:val="00CB2BBE"/>
    <w:rPr>
      <w:i/>
      <w:iCs/>
    </w:rPr>
  </w:style>
  <w:style w:type="character" w:customStyle="1" w:styleId="match">
    <w:name w:val="match"/>
    <w:basedOn w:val="DefaultParagraphFont"/>
    <w:rsid w:val="00CB2BBE"/>
  </w:style>
  <w:style w:type="paragraph" w:styleId="Bibliography">
    <w:name w:val="Bibliography"/>
    <w:basedOn w:val="Normal"/>
    <w:next w:val="Normal"/>
    <w:uiPriority w:val="37"/>
    <w:unhideWhenUsed/>
    <w:rsid w:val="00CB2BBE"/>
  </w:style>
  <w:style w:type="table" w:styleId="TableGrid">
    <w:name w:val="Table Grid"/>
    <w:basedOn w:val="TableNormal"/>
    <w:uiPriority w:val="39"/>
    <w:rsid w:val="00CB2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CB2BBE"/>
  </w:style>
  <w:style w:type="paragraph" w:styleId="NormalWeb">
    <w:name w:val="Normal (Web)"/>
    <w:basedOn w:val="Normal"/>
    <w:link w:val="NormalWebChar"/>
    <w:uiPriority w:val="99"/>
    <w:unhideWhenUsed/>
    <w:rsid w:val="00CB2BB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WebChar">
    <w:name w:val="Normal (Web) Char"/>
    <w:basedOn w:val="DefaultParagraphFont"/>
    <w:link w:val="NormalWeb"/>
    <w:uiPriority w:val="99"/>
    <w:rsid w:val="00CB2BBE"/>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B2BBE"/>
    <w:rPr>
      <w:color w:val="0563C1" w:themeColor="hyperlink"/>
      <w:u w:val="single"/>
    </w:rPr>
  </w:style>
  <w:style w:type="character" w:customStyle="1" w:styleId="a">
    <w:name w:val="_"/>
    <w:basedOn w:val="DefaultParagraphFont"/>
    <w:rsid w:val="00CB2BBE"/>
  </w:style>
  <w:style w:type="character" w:customStyle="1" w:styleId="ff3">
    <w:name w:val="ff3"/>
    <w:basedOn w:val="DefaultParagraphFont"/>
    <w:rsid w:val="00CB2BBE"/>
  </w:style>
  <w:style w:type="paragraph" w:styleId="Header">
    <w:name w:val="header"/>
    <w:basedOn w:val="Normal"/>
    <w:link w:val="HeaderChar"/>
    <w:uiPriority w:val="99"/>
    <w:unhideWhenUsed/>
    <w:rsid w:val="00CB2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BBE"/>
  </w:style>
  <w:style w:type="paragraph" w:styleId="Footer">
    <w:name w:val="footer"/>
    <w:basedOn w:val="Normal"/>
    <w:link w:val="FooterChar"/>
    <w:uiPriority w:val="99"/>
    <w:unhideWhenUsed/>
    <w:rsid w:val="00CB2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BBE"/>
  </w:style>
  <w:style w:type="character" w:customStyle="1" w:styleId="BalloonTextChar">
    <w:name w:val="Balloon Text Char"/>
    <w:basedOn w:val="DefaultParagraphFont"/>
    <w:link w:val="BalloonText"/>
    <w:uiPriority w:val="99"/>
    <w:semiHidden/>
    <w:rsid w:val="00CB2BBE"/>
    <w:rPr>
      <w:rFonts w:ascii="Segoe UI" w:hAnsi="Segoe UI" w:cs="Segoe UI"/>
      <w:sz w:val="18"/>
      <w:szCs w:val="18"/>
    </w:rPr>
  </w:style>
  <w:style w:type="paragraph" w:styleId="BalloonText">
    <w:name w:val="Balloon Text"/>
    <w:basedOn w:val="Normal"/>
    <w:link w:val="BalloonTextChar"/>
    <w:uiPriority w:val="99"/>
    <w:semiHidden/>
    <w:unhideWhenUsed/>
    <w:rsid w:val="00CB2BBE"/>
    <w:pPr>
      <w:spacing w:after="0" w:line="240" w:lineRule="auto"/>
    </w:pPr>
    <w:rPr>
      <w:rFonts w:ascii="Segoe UI" w:hAnsi="Segoe UI" w:cs="Segoe UI"/>
      <w:sz w:val="18"/>
      <w:szCs w:val="18"/>
    </w:rPr>
  </w:style>
  <w:style w:type="character" w:customStyle="1" w:styleId="line-clamp-1">
    <w:name w:val="line-clamp-1"/>
    <w:basedOn w:val="DefaultParagraphFont"/>
    <w:rsid w:val="00CB2BBE"/>
  </w:style>
  <w:style w:type="paragraph" w:customStyle="1" w:styleId="Default">
    <w:name w:val="Default"/>
    <w:link w:val="DefaultChar"/>
    <w:rsid w:val="00CB2BBE"/>
    <w:pPr>
      <w:autoSpaceDE w:val="0"/>
      <w:autoSpaceDN w:val="0"/>
      <w:adjustRightInd w:val="0"/>
      <w:spacing w:after="0" w:line="240" w:lineRule="auto"/>
    </w:pPr>
    <w:rPr>
      <w:rFonts w:ascii="Myriad Pro" w:hAnsi="Myriad Pro" w:cs="Myriad Pro"/>
      <w:color w:val="000000"/>
      <w:sz w:val="24"/>
      <w:szCs w:val="24"/>
    </w:rPr>
  </w:style>
  <w:style w:type="character" w:customStyle="1" w:styleId="DefaultChar">
    <w:name w:val="Default Char"/>
    <w:basedOn w:val="DefaultParagraphFont"/>
    <w:link w:val="Default"/>
    <w:rsid w:val="00CB2BBE"/>
    <w:rPr>
      <w:rFonts w:ascii="Myriad Pro" w:hAnsi="Myriad Pro" w:cs="Myriad Pro"/>
      <w:color w:val="000000"/>
      <w:sz w:val="24"/>
      <w:szCs w:val="24"/>
    </w:rPr>
  </w:style>
  <w:style w:type="paragraph" w:styleId="BodyText">
    <w:name w:val="Body Text"/>
    <w:basedOn w:val="Normal"/>
    <w:link w:val="BodyTextChar"/>
    <w:rsid w:val="00CB2BBE"/>
    <w:pPr>
      <w:spacing w:after="240" w:line="240" w:lineRule="atLeast"/>
      <w:ind w:firstLine="360"/>
      <w:jc w:val="both"/>
    </w:pPr>
    <w:rPr>
      <w:rFonts w:ascii="Garamond" w:eastAsia="Times New Roman" w:hAnsi="Garamond" w:cs="Times New Roman"/>
      <w:szCs w:val="20"/>
      <w:lang w:val="en-US"/>
    </w:rPr>
  </w:style>
  <w:style w:type="character" w:customStyle="1" w:styleId="BodyTextChar">
    <w:name w:val="Body Text Char"/>
    <w:basedOn w:val="DefaultParagraphFont"/>
    <w:link w:val="BodyText"/>
    <w:rsid w:val="00CB2BBE"/>
    <w:rPr>
      <w:rFonts w:ascii="Garamond" w:eastAsia="Times New Roman" w:hAnsi="Garamond" w:cs="Times New Roman"/>
      <w:szCs w:val="20"/>
      <w:lang w:val="en-US"/>
    </w:rPr>
  </w:style>
  <w:style w:type="paragraph" w:customStyle="1" w:styleId="SubtitleCover">
    <w:name w:val="Subtitle Cover"/>
    <w:basedOn w:val="TitleCover"/>
    <w:next w:val="BodyText"/>
    <w:rsid w:val="00CB2BB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CB2BBE"/>
    <w:pPr>
      <w:keepNext/>
      <w:keepLines/>
      <w:spacing w:after="240" w:line="720" w:lineRule="atLeast"/>
      <w:jc w:val="center"/>
    </w:pPr>
    <w:rPr>
      <w:rFonts w:ascii="Garamond" w:eastAsia="Times New Roman" w:hAnsi="Garamond" w:cs="Times New Roman"/>
      <w:caps/>
      <w:spacing w:val="65"/>
      <w:kern w:val="20"/>
      <w:sz w:val="64"/>
      <w:szCs w:val="20"/>
      <w:lang w:val="en-US"/>
    </w:rPr>
  </w:style>
  <w:style w:type="character" w:styleId="Strong">
    <w:name w:val="Strong"/>
    <w:basedOn w:val="DefaultParagraphFont"/>
    <w:uiPriority w:val="22"/>
    <w:qFormat/>
    <w:rsid w:val="00CB2BBE"/>
    <w:rPr>
      <w:b/>
      <w:bCs/>
    </w:rPr>
  </w:style>
  <w:style w:type="paragraph" w:styleId="NoSpacing">
    <w:name w:val="No Spacing"/>
    <w:uiPriority w:val="1"/>
    <w:qFormat/>
    <w:rsid w:val="00CB2BBE"/>
    <w:pPr>
      <w:spacing w:after="0" w:line="240" w:lineRule="auto"/>
    </w:pPr>
  </w:style>
  <w:style w:type="character" w:customStyle="1" w:styleId="Heading1Char">
    <w:name w:val="Heading 1 Char"/>
    <w:basedOn w:val="DefaultParagraphFont"/>
    <w:link w:val="Heading1"/>
    <w:uiPriority w:val="9"/>
    <w:rsid w:val="004912F4"/>
    <w:rPr>
      <w:rFonts w:ascii="Times New Roman" w:eastAsia="ArialMT" w:hAnsi="Times New Roman" w:cs="Times New Roman"/>
      <w:b/>
      <w:color w:val="000000" w:themeColor="text1"/>
      <w:sz w:val="28"/>
      <w:szCs w:val="28"/>
      <w:bdr w:val="none" w:sz="0" w:space="0" w:color="auto" w:frame="1"/>
    </w:rPr>
  </w:style>
  <w:style w:type="character" w:customStyle="1" w:styleId="Heading3Char">
    <w:name w:val="Heading 3 Char"/>
    <w:basedOn w:val="DefaultParagraphFont"/>
    <w:link w:val="Heading3"/>
    <w:uiPriority w:val="9"/>
    <w:rsid w:val="00C70D14"/>
    <w:rPr>
      <w:rFonts w:asciiTheme="majorHAnsi" w:eastAsia="ArialMT"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82344"/>
    <w:pPr>
      <w:outlineLvl w:val="9"/>
    </w:pPr>
    <w:rPr>
      <w:rFonts w:asciiTheme="majorHAnsi" w:eastAsiaTheme="majorEastAsia" w:hAnsiTheme="majorHAnsi" w:cstheme="majorBidi"/>
      <w:b w:val="0"/>
      <w:color w:val="2E74B5" w:themeColor="accent1" w:themeShade="BF"/>
      <w:sz w:val="32"/>
      <w:szCs w:val="32"/>
      <w:bdr w:val="none" w:sz="0" w:space="0" w:color="auto"/>
      <w:lang w:val="en-US"/>
    </w:rPr>
  </w:style>
  <w:style w:type="paragraph" w:styleId="TOC1">
    <w:name w:val="toc 1"/>
    <w:basedOn w:val="Normal"/>
    <w:next w:val="Normal"/>
    <w:autoRedefine/>
    <w:uiPriority w:val="39"/>
    <w:unhideWhenUsed/>
    <w:rsid w:val="00C82344"/>
    <w:pPr>
      <w:spacing w:after="100"/>
    </w:pPr>
  </w:style>
  <w:style w:type="paragraph" w:styleId="TOC2">
    <w:name w:val="toc 2"/>
    <w:basedOn w:val="Normal"/>
    <w:next w:val="Normal"/>
    <w:autoRedefine/>
    <w:uiPriority w:val="39"/>
    <w:unhideWhenUsed/>
    <w:rsid w:val="00C82344"/>
    <w:pPr>
      <w:spacing w:after="100"/>
      <w:ind w:left="220"/>
    </w:pPr>
  </w:style>
  <w:style w:type="paragraph" w:styleId="TOC3">
    <w:name w:val="toc 3"/>
    <w:basedOn w:val="Normal"/>
    <w:next w:val="Normal"/>
    <w:autoRedefine/>
    <w:uiPriority w:val="39"/>
    <w:unhideWhenUsed/>
    <w:rsid w:val="00C82344"/>
    <w:pPr>
      <w:spacing w:after="100"/>
      <w:ind w:left="440"/>
    </w:pPr>
  </w:style>
  <w:style w:type="character" w:customStyle="1" w:styleId="Heading4Char">
    <w:name w:val="Heading 4 Char"/>
    <w:basedOn w:val="DefaultParagraphFont"/>
    <w:link w:val="Heading4"/>
    <w:uiPriority w:val="9"/>
    <w:rsid w:val="003D0D4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6502">
      <w:bodyDiv w:val="1"/>
      <w:marLeft w:val="0"/>
      <w:marRight w:val="0"/>
      <w:marTop w:val="0"/>
      <w:marBottom w:val="0"/>
      <w:divBdr>
        <w:top w:val="none" w:sz="0" w:space="0" w:color="auto"/>
        <w:left w:val="none" w:sz="0" w:space="0" w:color="auto"/>
        <w:bottom w:val="none" w:sz="0" w:space="0" w:color="auto"/>
        <w:right w:val="none" w:sz="0" w:space="0" w:color="auto"/>
      </w:divBdr>
    </w:div>
    <w:div w:id="67457823">
      <w:bodyDiv w:val="1"/>
      <w:marLeft w:val="0"/>
      <w:marRight w:val="0"/>
      <w:marTop w:val="0"/>
      <w:marBottom w:val="0"/>
      <w:divBdr>
        <w:top w:val="none" w:sz="0" w:space="0" w:color="auto"/>
        <w:left w:val="none" w:sz="0" w:space="0" w:color="auto"/>
        <w:bottom w:val="none" w:sz="0" w:space="0" w:color="auto"/>
        <w:right w:val="none" w:sz="0" w:space="0" w:color="auto"/>
      </w:divBdr>
      <w:divsChild>
        <w:div w:id="1013150665">
          <w:marLeft w:val="0"/>
          <w:marRight w:val="0"/>
          <w:marTop w:val="0"/>
          <w:marBottom w:val="0"/>
          <w:divBdr>
            <w:top w:val="none" w:sz="0" w:space="0" w:color="auto"/>
            <w:left w:val="none" w:sz="0" w:space="0" w:color="auto"/>
            <w:bottom w:val="none" w:sz="0" w:space="0" w:color="auto"/>
            <w:right w:val="none" w:sz="0" w:space="0" w:color="auto"/>
          </w:divBdr>
          <w:divsChild>
            <w:div w:id="263609218">
              <w:marLeft w:val="0"/>
              <w:marRight w:val="0"/>
              <w:marTop w:val="0"/>
              <w:marBottom w:val="0"/>
              <w:divBdr>
                <w:top w:val="none" w:sz="0" w:space="0" w:color="auto"/>
                <w:left w:val="none" w:sz="0" w:space="0" w:color="auto"/>
                <w:bottom w:val="none" w:sz="0" w:space="0" w:color="auto"/>
                <w:right w:val="none" w:sz="0" w:space="0" w:color="auto"/>
              </w:divBdr>
              <w:divsChild>
                <w:div w:id="1905753731">
                  <w:marLeft w:val="0"/>
                  <w:marRight w:val="0"/>
                  <w:marTop w:val="0"/>
                  <w:marBottom w:val="0"/>
                  <w:divBdr>
                    <w:top w:val="none" w:sz="0" w:space="0" w:color="auto"/>
                    <w:left w:val="none" w:sz="0" w:space="0" w:color="auto"/>
                    <w:bottom w:val="none" w:sz="0" w:space="0" w:color="auto"/>
                    <w:right w:val="none" w:sz="0" w:space="0" w:color="auto"/>
                  </w:divBdr>
                  <w:divsChild>
                    <w:div w:id="1399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37671">
          <w:marLeft w:val="0"/>
          <w:marRight w:val="0"/>
          <w:marTop w:val="0"/>
          <w:marBottom w:val="0"/>
          <w:divBdr>
            <w:top w:val="none" w:sz="0" w:space="0" w:color="auto"/>
            <w:left w:val="none" w:sz="0" w:space="0" w:color="auto"/>
            <w:bottom w:val="none" w:sz="0" w:space="0" w:color="auto"/>
            <w:right w:val="none" w:sz="0" w:space="0" w:color="auto"/>
          </w:divBdr>
          <w:divsChild>
            <w:div w:id="1163862352">
              <w:marLeft w:val="0"/>
              <w:marRight w:val="0"/>
              <w:marTop w:val="0"/>
              <w:marBottom w:val="0"/>
              <w:divBdr>
                <w:top w:val="none" w:sz="0" w:space="0" w:color="auto"/>
                <w:left w:val="none" w:sz="0" w:space="0" w:color="auto"/>
                <w:bottom w:val="none" w:sz="0" w:space="0" w:color="auto"/>
                <w:right w:val="none" w:sz="0" w:space="0" w:color="auto"/>
              </w:divBdr>
              <w:divsChild>
                <w:div w:id="31227704">
                  <w:marLeft w:val="0"/>
                  <w:marRight w:val="0"/>
                  <w:marTop w:val="0"/>
                  <w:marBottom w:val="0"/>
                  <w:divBdr>
                    <w:top w:val="none" w:sz="0" w:space="0" w:color="auto"/>
                    <w:left w:val="none" w:sz="0" w:space="0" w:color="auto"/>
                    <w:bottom w:val="none" w:sz="0" w:space="0" w:color="auto"/>
                    <w:right w:val="none" w:sz="0" w:space="0" w:color="auto"/>
                  </w:divBdr>
                  <w:divsChild>
                    <w:div w:id="5234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8598">
      <w:bodyDiv w:val="1"/>
      <w:marLeft w:val="0"/>
      <w:marRight w:val="0"/>
      <w:marTop w:val="0"/>
      <w:marBottom w:val="0"/>
      <w:divBdr>
        <w:top w:val="none" w:sz="0" w:space="0" w:color="auto"/>
        <w:left w:val="none" w:sz="0" w:space="0" w:color="auto"/>
        <w:bottom w:val="none" w:sz="0" w:space="0" w:color="auto"/>
        <w:right w:val="none" w:sz="0" w:space="0" w:color="auto"/>
      </w:divBdr>
    </w:div>
    <w:div w:id="94600377">
      <w:bodyDiv w:val="1"/>
      <w:marLeft w:val="0"/>
      <w:marRight w:val="0"/>
      <w:marTop w:val="0"/>
      <w:marBottom w:val="0"/>
      <w:divBdr>
        <w:top w:val="none" w:sz="0" w:space="0" w:color="auto"/>
        <w:left w:val="none" w:sz="0" w:space="0" w:color="auto"/>
        <w:bottom w:val="none" w:sz="0" w:space="0" w:color="auto"/>
        <w:right w:val="none" w:sz="0" w:space="0" w:color="auto"/>
      </w:divBdr>
      <w:divsChild>
        <w:div w:id="1218510961">
          <w:marLeft w:val="0"/>
          <w:marRight w:val="0"/>
          <w:marTop w:val="0"/>
          <w:marBottom w:val="0"/>
          <w:divBdr>
            <w:top w:val="none" w:sz="0" w:space="0" w:color="auto"/>
            <w:left w:val="none" w:sz="0" w:space="0" w:color="auto"/>
            <w:bottom w:val="none" w:sz="0" w:space="0" w:color="auto"/>
            <w:right w:val="none" w:sz="0" w:space="0" w:color="auto"/>
          </w:divBdr>
          <w:divsChild>
            <w:div w:id="812602406">
              <w:marLeft w:val="0"/>
              <w:marRight w:val="0"/>
              <w:marTop w:val="0"/>
              <w:marBottom w:val="0"/>
              <w:divBdr>
                <w:top w:val="none" w:sz="0" w:space="0" w:color="auto"/>
                <w:left w:val="none" w:sz="0" w:space="0" w:color="auto"/>
                <w:bottom w:val="none" w:sz="0" w:space="0" w:color="auto"/>
                <w:right w:val="none" w:sz="0" w:space="0" w:color="auto"/>
              </w:divBdr>
              <w:divsChild>
                <w:div w:id="581136553">
                  <w:marLeft w:val="0"/>
                  <w:marRight w:val="0"/>
                  <w:marTop w:val="0"/>
                  <w:marBottom w:val="0"/>
                  <w:divBdr>
                    <w:top w:val="none" w:sz="0" w:space="0" w:color="auto"/>
                    <w:left w:val="none" w:sz="0" w:space="0" w:color="auto"/>
                    <w:bottom w:val="none" w:sz="0" w:space="0" w:color="auto"/>
                    <w:right w:val="none" w:sz="0" w:space="0" w:color="auto"/>
                  </w:divBdr>
                  <w:divsChild>
                    <w:div w:id="17861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6483">
      <w:bodyDiv w:val="1"/>
      <w:marLeft w:val="0"/>
      <w:marRight w:val="0"/>
      <w:marTop w:val="0"/>
      <w:marBottom w:val="0"/>
      <w:divBdr>
        <w:top w:val="none" w:sz="0" w:space="0" w:color="auto"/>
        <w:left w:val="none" w:sz="0" w:space="0" w:color="auto"/>
        <w:bottom w:val="none" w:sz="0" w:space="0" w:color="auto"/>
        <w:right w:val="none" w:sz="0" w:space="0" w:color="auto"/>
      </w:divBdr>
    </w:div>
    <w:div w:id="115224491">
      <w:bodyDiv w:val="1"/>
      <w:marLeft w:val="0"/>
      <w:marRight w:val="0"/>
      <w:marTop w:val="0"/>
      <w:marBottom w:val="0"/>
      <w:divBdr>
        <w:top w:val="none" w:sz="0" w:space="0" w:color="auto"/>
        <w:left w:val="none" w:sz="0" w:space="0" w:color="auto"/>
        <w:bottom w:val="none" w:sz="0" w:space="0" w:color="auto"/>
        <w:right w:val="none" w:sz="0" w:space="0" w:color="auto"/>
      </w:divBdr>
      <w:divsChild>
        <w:div w:id="1308972915">
          <w:marLeft w:val="0"/>
          <w:marRight w:val="0"/>
          <w:marTop w:val="0"/>
          <w:marBottom w:val="0"/>
          <w:divBdr>
            <w:top w:val="none" w:sz="0" w:space="0" w:color="auto"/>
            <w:left w:val="none" w:sz="0" w:space="0" w:color="auto"/>
            <w:bottom w:val="none" w:sz="0" w:space="0" w:color="auto"/>
            <w:right w:val="none" w:sz="0" w:space="0" w:color="auto"/>
          </w:divBdr>
          <w:divsChild>
            <w:div w:id="362633161">
              <w:marLeft w:val="0"/>
              <w:marRight w:val="0"/>
              <w:marTop w:val="0"/>
              <w:marBottom w:val="0"/>
              <w:divBdr>
                <w:top w:val="none" w:sz="0" w:space="0" w:color="auto"/>
                <w:left w:val="none" w:sz="0" w:space="0" w:color="auto"/>
                <w:bottom w:val="none" w:sz="0" w:space="0" w:color="auto"/>
                <w:right w:val="none" w:sz="0" w:space="0" w:color="auto"/>
              </w:divBdr>
              <w:divsChild>
                <w:div w:id="2135636603">
                  <w:marLeft w:val="0"/>
                  <w:marRight w:val="0"/>
                  <w:marTop w:val="0"/>
                  <w:marBottom w:val="0"/>
                  <w:divBdr>
                    <w:top w:val="none" w:sz="0" w:space="0" w:color="auto"/>
                    <w:left w:val="none" w:sz="0" w:space="0" w:color="auto"/>
                    <w:bottom w:val="none" w:sz="0" w:space="0" w:color="auto"/>
                    <w:right w:val="none" w:sz="0" w:space="0" w:color="auto"/>
                  </w:divBdr>
                  <w:divsChild>
                    <w:div w:id="21281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2160">
      <w:bodyDiv w:val="1"/>
      <w:marLeft w:val="0"/>
      <w:marRight w:val="0"/>
      <w:marTop w:val="0"/>
      <w:marBottom w:val="0"/>
      <w:divBdr>
        <w:top w:val="none" w:sz="0" w:space="0" w:color="auto"/>
        <w:left w:val="none" w:sz="0" w:space="0" w:color="auto"/>
        <w:bottom w:val="none" w:sz="0" w:space="0" w:color="auto"/>
        <w:right w:val="none" w:sz="0" w:space="0" w:color="auto"/>
      </w:divBdr>
    </w:div>
    <w:div w:id="180171396">
      <w:bodyDiv w:val="1"/>
      <w:marLeft w:val="0"/>
      <w:marRight w:val="0"/>
      <w:marTop w:val="0"/>
      <w:marBottom w:val="0"/>
      <w:divBdr>
        <w:top w:val="none" w:sz="0" w:space="0" w:color="auto"/>
        <w:left w:val="none" w:sz="0" w:space="0" w:color="auto"/>
        <w:bottom w:val="none" w:sz="0" w:space="0" w:color="auto"/>
        <w:right w:val="none" w:sz="0" w:space="0" w:color="auto"/>
      </w:divBdr>
    </w:div>
    <w:div w:id="198864009">
      <w:bodyDiv w:val="1"/>
      <w:marLeft w:val="0"/>
      <w:marRight w:val="0"/>
      <w:marTop w:val="0"/>
      <w:marBottom w:val="0"/>
      <w:divBdr>
        <w:top w:val="none" w:sz="0" w:space="0" w:color="auto"/>
        <w:left w:val="none" w:sz="0" w:space="0" w:color="auto"/>
        <w:bottom w:val="none" w:sz="0" w:space="0" w:color="auto"/>
        <w:right w:val="none" w:sz="0" w:space="0" w:color="auto"/>
      </w:divBdr>
    </w:div>
    <w:div w:id="211966723">
      <w:bodyDiv w:val="1"/>
      <w:marLeft w:val="0"/>
      <w:marRight w:val="0"/>
      <w:marTop w:val="0"/>
      <w:marBottom w:val="0"/>
      <w:divBdr>
        <w:top w:val="none" w:sz="0" w:space="0" w:color="auto"/>
        <w:left w:val="none" w:sz="0" w:space="0" w:color="auto"/>
        <w:bottom w:val="none" w:sz="0" w:space="0" w:color="auto"/>
        <w:right w:val="none" w:sz="0" w:space="0" w:color="auto"/>
      </w:divBdr>
    </w:div>
    <w:div w:id="244270510">
      <w:bodyDiv w:val="1"/>
      <w:marLeft w:val="0"/>
      <w:marRight w:val="0"/>
      <w:marTop w:val="0"/>
      <w:marBottom w:val="0"/>
      <w:divBdr>
        <w:top w:val="none" w:sz="0" w:space="0" w:color="auto"/>
        <w:left w:val="none" w:sz="0" w:space="0" w:color="auto"/>
        <w:bottom w:val="none" w:sz="0" w:space="0" w:color="auto"/>
        <w:right w:val="none" w:sz="0" w:space="0" w:color="auto"/>
      </w:divBdr>
    </w:div>
    <w:div w:id="250503259">
      <w:bodyDiv w:val="1"/>
      <w:marLeft w:val="0"/>
      <w:marRight w:val="0"/>
      <w:marTop w:val="0"/>
      <w:marBottom w:val="0"/>
      <w:divBdr>
        <w:top w:val="none" w:sz="0" w:space="0" w:color="auto"/>
        <w:left w:val="none" w:sz="0" w:space="0" w:color="auto"/>
        <w:bottom w:val="none" w:sz="0" w:space="0" w:color="auto"/>
        <w:right w:val="none" w:sz="0" w:space="0" w:color="auto"/>
      </w:divBdr>
      <w:divsChild>
        <w:div w:id="1652712656">
          <w:marLeft w:val="0"/>
          <w:marRight w:val="0"/>
          <w:marTop w:val="0"/>
          <w:marBottom w:val="0"/>
          <w:divBdr>
            <w:top w:val="none" w:sz="0" w:space="0" w:color="auto"/>
            <w:left w:val="none" w:sz="0" w:space="0" w:color="auto"/>
            <w:bottom w:val="none" w:sz="0" w:space="0" w:color="auto"/>
            <w:right w:val="none" w:sz="0" w:space="0" w:color="auto"/>
          </w:divBdr>
          <w:divsChild>
            <w:div w:id="1855655629">
              <w:marLeft w:val="0"/>
              <w:marRight w:val="0"/>
              <w:marTop w:val="0"/>
              <w:marBottom w:val="0"/>
              <w:divBdr>
                <w:top w:val="none" w:sz="0" w:space="0" w:color="auto"/>
                <w:left w:val="none" w:sz="0" w:space="0" w:color="auto"/>
                <w:bottom w:val="none" w:sz="0" w:space="0" w:color="auto"/>
                <w:right w:val="none" w:sz="0" w:space="0" w:color="auto"/>
              </w:divBdr>
              <w:divsChild>
                <w:div w:id="1015229426">
                  <w:marLeft w:val="0"/>
                  <w:marRight w:val="0"/>
                  <w:marTop w:val="0"/>
                  <w:marBottom w:val="0"/>
                  <w:divBdr>
                    <w:top w:val="none" w:sz="0" w:space="0" w:color="auto"/>
                    <w:left w:val="none" w:sz="0" w:space="0" w:color="auto"/>
                    <w:bottom w:val="none" w:sz="0" w:space="0" w:color="auto"/>
                    <w:right w:val="none" w:sz="0" w:space="0" w:color="auto"/>
                  </w:divBdr>
                  <w:divsChild>
                    <w:div w:id="18197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5585">
          <w:marLeft w:val="0"/>
          <w:marRight w:val="0"/>
          <w:marTop w:val="0"/>
          <w:marBottom w:val="0"/>
          <w:divBdr>
            <w:top w:val="none" w:sz="0" w:space="0" w:color="auto"/>
            <w:left w:val="none" w:sz="0" w:space="0" w:color="auto"/>
            <w:bottom w:val="none" w:sz="0" w:space="0" w:color="auto"/>
            <w:right w:val="none" w:sz="0" w:space="0" w:color="auto"/>
          </w:divBdr>
          <w:divsChild>
            <w:div w:id="314452872">
              <w:marLeft w:val="0"/>
              <w:marRight w:val="0"/>
              <w:marTop w:val="0"/>
              <w:marBottom w:val="0"/>
              <w:divBdr>
                <w:top w:val="none" w:sz="0" w:space="0" w:color="auto"/>
                <w:left w:val="none" w:sz="0" w:space="0" w:color="auto"/>
                <w:bottom w:val="none" w:sz="0" w:space="0" w:color="auto"/>
                <w:right w:val="none" w:sz="0" w:space="0" w:color="auto"/>
              </w:divBdr>
              <w:divsChild>
                <w:div w:id="2083139451">
                  <w:marLeft w:val="0"/>
                  <w:marRight w:val="0"/>
                  <w:marTop w:val="0"/>
                  <w:marBottom w:val="0"/>
                  <w:divBdr>
                    <w:top w:val="none" w:sz="0" w:space="0" w:color="auto"/>
                    <w:left w:val="none" w:sz="0" w:space="0" w:color="auto"/>
                    <w:bottom w:val="none" w:sz="0" w:space="0" w:color="auto"/>
                    <w:right w:val="none" w:sz="0" w:space="0" w:color="auto"/>
                  </w:divBdr>
                  <w:divsChild>
                    <w:div w:id="6954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16357">
      <w:bodyDiv w:val="1"/>
      <w:marLeft w:val="0"/>
      <w:marRight w:val="0"/>
      <w:marTop w:val="0"/>
      <w:marBottom w:val="0"/>
      <w:divBdr>
        <w:top w:val="none" w:sz="0" w:space="0" w:color="auto"/>
        <w:left w:val="none" w:sz="0" w:space="0" w:color="auto"/>
        <w:bottom w:val="none" w:sz="0" w:space="0" w:color="auto"/>
        <w:right w:val="none" w:sz="0" w:space="0" w:color="auto"/>
      </w:divBdr>
    </w:div>
    <w:div w:id="305818109">
      <w:bodyDiv w:val="1"/>
      <w:marLeft w:val="0"/>
      <w:marRight w:val="0"/>
      <w:marTop w:val="0"/>
      <w:marBottom w:val="0"/>
      <w:divBdr>
        <w:top w:val="none" w:sz="0" w:space="0" w:color="auto"/>
        <w:left w:val="none" w:sz="0" w:space="0" w:color="auto"/>
        <w:bottom w:val="none" w:sz="0" w:space="0" w:color="auto"/>
        <w:right w:val="none" w:sz="0" w:space="0" w:color="auto"/>
      </w:divBdr>
    </w:div>
    <w:div w:id="372196634">
      <w:bodyDiv w:val="1"/>
      <w:marLeft w:val="0"/>
      <w:marRight w:val="0"/>
      <w:marTop w:val="0"/>
      <w:marBottom w:val="0"/>
      <w:divBdr>
        <w:top w:val="none" w:sz="0" w:space="0" w:color="auto"/>
        <w:left w:val="none" w:sz="0" w:space="0" w:color="auto"/>
        <w:bottom w:val="none" w:sz="0" w:space="0" w:color="auto"/>
        <w:right w:val="none" w:sz="0" w:space="0" w:color="auto"/>
      </w:divBdr>
    </w:div>
    <w:div w:id="373047525">
      <w:bodyDiv w:val="1"/>
      <w:marLeft w:val="0"/>
      <w:marRight w:val="0"/>
      <w:marTop w:val="0"/>
      <w:marBottom w:val="0"/>
      <w:divBdr>
        <w:top w:val="none" w:sz="0" w:space="0" w:color="auto"/>
        <w:left w:val="none" w:sz="0" w:space="0" w:color="auto"/>
        <w:bottom w:val="none" w:sz="0" w:space="0" w:color="auto"/>
        <w:right w:val="none" w:sz="0" w:space="0" w:color="auto"/>
      </w:divBdr>
    </w:div>
    <w:div w:id="386997819">
      <w:bodyDiv w:val="1"/>
      <w:marLeft w:val="0"/>
      <w:marRight w:val="0"/>
      <w:marTop w:val="0"/>
      <w:marBottom w:val="0"/>
      <w:divBdr>
        <w:top w:val="none" w:sz="0" w:space="0" w:color="auto"/>
        <w:left w:val="none" w:sz="0" w:space="0" w:color="auto"/>
        <w:bottom w:val="none" w:sz="0" w:space="0" w:color="auto"/>
        <w:right w:val="none" w:sz="0" w:space="0" w:color="auto"/>
      </w:divBdr>
    </w:div>
    <w:div w:id="425002182">
      <w:bodyDiv w:val="1"/>
      <w:marLeft w:val="0"/>
      <w:marRight w:val="0"/>
      <w:marTop w:val="0"/>
      <w:marBottom w:val="0"/>
      <w:divBdr>
        <w:top w:val="none" w:sz="0" w:space="0" w:color="auto"/>
        <w:left w:val="none" w:sz="0" w:space="0" w:color="auto"/>
        <w:bottom w:val="none" w:sz="0" w:space="0" w:color="auto"/>
        <w:right w:val="none" w:sz="0" w:space="0" w:color="auto"/>
      </w:divBdr>
    </w:div>
    <w:div w:id="454951717">
      <w:bodyDiv w:val="1"/>
      <w:marLeft w:val="0"/>
      <w:marRight w:val="0"/>
      <w:marTop w:val="0"/>
      <w:marBottom w:val="0"/>
      <w:divBdr>
        <w:top w:val="none" w:sz="0" w:space="0" w:color="auto"/>
        <w:left w:val="none" w:sz="0" w:space="0" w:color="auto"/>
        <w:bottom w:val="none" w:sz="0" w:space="0" w:color="auto"/>
        <w:right w:val="none" w:sz="0" w:space="0" w:color="auto"/>
      </w:divBdr>
    </w:div>
    <w:div w:id="475494257">
      <w:bodyDiv w:val="1"/>
      <w:marLeft w:val="0"/>
      <w:marRight w:val="0"/>
      <w:marTop w:val="0"/>
      <w:marBottom w:val="0"/>
      <w:divBdr>
        <w:top w:val="none" w:sz="0" w:space="0" w:color="auto"/>
        <w:left w:val="none" w:sz="0" w:space="0" w:color="auto"/>
        <w:bottom w:val="none" w:sz="0" w:space="0" w:color="auto"/>
        <w:right w:val="none" w:sz="0" w:space="0" w:color="auto"/>
      </w:divBdr>
    </w:div>
    <w:div w:id="489562066">
      <w:bodyDiv w:val="1"/>
      <w:marLeft w:val="0"/>
      <w:marRight w:val="0"/>
      <w:marTop w:val="0"/>
      <w:marBottom w:val="0"/>
      <w:divBdr>
        <w:top w:val="none" w:sz="0" w:space="0" w:color="auto"/>
        <w:left w:val="none" w:sz="0" w:space="0" w:color="auto"/>
        <w:bottom w:val="none" w:sz="0" w:space="0" w:color="auto"/>
        <w:right w:val="none" w:sz="0" w:space="0" w:color="auto"/>
      </w:divBdr>
    </w:div>
    <w:div w:id="553084047">
      <w:bodyDiv w:val="1"/>
      <w:marLeft w:val="0"/>
      <w:marRight w:val="0"/>
      <w:marTop w:val="0"/>
      <w:marBottom w:val="0"/>
      <w:divBdr>
        <w:top w:val="none" w:sz="0" w:space="0" w:color="auto"/>
        <w:left w:val="none" w:sz="0" w:space="0" w:color="auto"/>
        <w:bottom w:val="none" w:sz="0" w:space="0" w:color="auto"/>
        <w:right w:val="none" w:sz="0" w:space="0" w:color="auto"/>
      </w:divBdr>
    </w:div>
    <w:div w:id="564145393">
      <w:bodyDiv w:val="1"/>
      <w:marLeft w:val="0"/>
      <w:marRight w:val="0"/>
      <w:marTop w:val="0"/>
      <w:marBottom w:val="0"/>
      <w:divBdr>
        <w:top w:val="none" w:sz="0" w:space="0" w:color="auto"/>
        <w:left w:val="none" w:sz="0" w:space="0" w:color="auto"/>
        <w:bottom w:val="none" w:sz="0" w:space="0" w:color="auto"/>
        <w:right w:val="none" w:sz="0" w:space="0" w:color="auto"/>
      </w:divBdr>
    </w:div>
    <w:div w:id="575936821">
      <w:bodyDiv w:val="1"/>
      <w:marLeft w:val="0"/>
      <w:marRight w:val="0"/>
      <w:marTop w:val="0"/>
      <w:marBottom w:val="0"/>
      <w:divBdr>
        <w:top w:val="none" w:sz="0" w:space="0" w:color="auto"/>
        <w:left w:val="none" w:sz="0" w:space="0" w:color="auto"/>
        <w:bottom w:val="none" w:sz="0" w:space="0" w:color="auto"/>
        <w:right w:val="none" w:sz="0" w:space="0" w:color="auto"/>
      </w:divBdr>
    </w:div>
    <w:div w:id="582029124">
      <w:bodyDiv w:val="1"/>
      <w:marLeft w:val="0"/>
      <w:marRight w:val="0"/>
      <w:marTop w:val="0"/>
      <w:marBottom w:val="0"/>
      <w:divBdr>
        <w:top w:val="none" w:sz="0" w:space="0" w:color="auto"/>
        <w:left w:val="none" w:sz="0" w:space="0" w:color="auto"/>
        <w:bottom w:val="none" w:sz="0" w:space="0" w:color="auto"/>
        <w:right w:val="none" w:sz="0" w:space="0" w:color="auto"/>
      </w:divBdr>
    </w:div>
    <w:div w:id="596060240">
      <w:bodyDiv w:val="1"/>
      <w:marLeft w:val="0"/>
      <w:marRight w:val="0"/>
      <w:marTop w:val="0"/>
      <w:marBottom w:val="0"/>
      <w:divBdr>
        <w:top w:val="none" w:sz="0" w:space="0" w:color="auto"/>
        <w:left w:val="none" w:sz="0" w:space="0" w:color="auto"/>
        <w:bottom w:val="none" w:sz="0" w:space="0" w:color="auto"/>
        <w:right w:val="none" w:sz="0" w:space="0" w:color="auto"/>
      </w:divBdr>
    </w:div>
    <w:div w:id="606734488">
      <w:bodyDiv w:val="1"/>
      <w:marLeft w:val="0"/>
      <w:marRight w:val="0"/>
      <w:marTop w:val="0"/>
      <w:marBottom w:val="0"/>
      <w:divBdr>
        <w:top w:val="none" w:sz="0" w:space="0" w:color="auto"/>
        <w:left w:val="none" w:sz="0" w:space="0" w:color="auto"/>
        <w:bottom w:val="none" w:sz="0" w:space="0" w:color="auto"/>
        <w:right w:val="none" w:sz="0" w:space="0" w:color="auto"/>
      </w:divBdr>
    </w:div>
    <w:div w:id="620576484">
      <w:bodyDiv w:val="1"/>
      <w:marLeft w:val="0"/>
      <w:marRight w:val="0"/>
      <w:marTop w:val="0"/>
      <w:marBottom w:val="0"/>
      <w:divBdr>
        <w:top w:val="none" w:sz="0" w:space="0" w:color="auto"/>
        <w:left w:val="none" w:sz="0" w:space="0" w:color="auto"/>
        <w:bottom w:val="none" w:sz="0" w:space="0" w:color="auto"/>
        <w:right w:val="none" w:sz="0" w:space="0" w:color="auto"/>
      </w:divBdr>
    </w:div>
    <w:div w:id="640500786">
      <w:bodyDiv w:val="1"/>
      <w:marLeft w:val="0"/>
      <w:marRight w:val="0"/>
      <w:marTop w:val="0"/>
      <w:marBottom w:val="0"/>
      <w:divBdr>
        <w:top w:val="none" w:sz="0" w:space="0" w:color="auto"/>
        <w:left w:val="none" w:sz="0" w:space="0" w:color="auto"/>
        <w:bottom w:val="none" w:sz="0" w:space="0" w:color="auto"/>
        <w:right w:val="none" w:sz="0" w:space="0" w:color="auto"/>
      </w:divBdr>
    </w:div>
    <w:div w:id="649331624">
      <w:bodyDiv w:val="1"/>
      <w:marLeft w:val="0"/>
      <w:marRight w:val="0"/>
      <w:marTop w:val="0"/>
      <w:marBottom w:val="0"/>
      <w:divBdr>
        <w:top w:val="none" w:sz="0" w:space="0" w:color="auto"/>
        <w:left w:val="none" w:sz="0" w:space="0" w:color="auto"/>
        <w:bottom w:val="none" w:sz="0" w:space="0" w:color="auto"/>
        <w:right w:val="none" w:sz="0" w:space="0" w:color="auto"/>
      </w:divBdr>
    </w:div>
    <w:div w:id="682633418">
      <w:bodyDiv w:val="1"/>
      <w:marLeft w:val="0"/>
      <w:marRight w:val="0"/>
      <w:marTop w:val="0"/>
      <w:marBottom w:val="0"/>
      <w:divBdr>
        <w:top w:val="none" w:sz="0" w:space="0" w:color="auto"/>
        <w:left w:val="none" w:sz="0" w:space="0" w:color="auto"/>
        <w:bottom w:val="none" w:sz="0" w:space="0" w:color="auto"/>
        <w:right w:val="none" w:sz="0" w:space="0" w:color="auto"/>
      </w:divBdr>
    </w:div>
    <w:div w:id="713508766">
      <w:bodyDiv w:val="1"/>
      <w:marLeft w:val="0"/>
      <w:marRight w:val="0"/>
      <w:marTop w:val="0"/>
      <w:marBottom w:val="0"/>
      <w:divBdr>
        <w:top w:val="none" w:sz="0" w:space="0" w:color="auto"/>
        <w:left w:val="none" w:sz="0" w:space="0" w:color="auto"/>
        <w:bottom w:val="none" w:sz="0" w:space="0" w:color="auto"/>
        <w:right w:val="none" w:sz="0" w:space="0" w:color="auto"/>
      </w:divBdr>
    </w:div>
    <w:div w:id="749960731">
      <w:bodyDiv w:val="1"/>
      <w:marLeft w:val="0"/>
      <w:marRight w:val="0"/>
      <w:marTop w:val="0"/>
      <w:marBottom w:val="0"/>
      <w:divBdr>
        <w:top w:val="none" w:sz="0" w:space="0" w:color="auto"/>
        <w:left w:val="none" w:sz="0" w:space="0" w:color="auto"/>
        <w:bottom w:val="none" w:sz="0" w:space="0" w:color="auto"/>
        <w:right w:val="none" w:sz="0" w:space="0" w:color="auto"/>
      </w:divBdr>
    </w:div>
    <w:div w:id="757479221">
      <w:bodyDiv w:val="1"/>
      <w:marLeft w:val="0"/>
      <w:marRight w:val="0"/>
      <w:marTop w:val="0"/>
      <w:marBottom w:val="0"/>
      <w:divBdr>
        <w:top w:val="none" w:sz="0" w:space="0" w:color="auto"/>
        <w:left w:val="none" w:sz="0" w:space="0" w:color="auto"/>
        <w:bottom w:val="none" w:sz="0" w:space="0" w:color="auto"/>
        <w:right w:val="none" w:sz="0" w:space="0" w:color="auto"/>
      </w:divBdr>
    </w:div>
    <w:div w:id="758866537">
      <w:bodyDiv w:val="1"/>
      <w:marLeft w:val="0"/>
      <w:marRight w:val="0"/>
      <w:marTop w:val="0"/>
      <w:marBottom w:val="0"/>
      <w:divBdr>
        <w:top w:val="none" w:sz="0" w:space="0" w:color="auto"/>
        <w:left w:val="none" w:sz="0" w:space="0" w:color="auto"/>
        <w:bottom w:val="none" w:sz="0" w:space="0" w:color="auto"/>
        <w:right w:val="none" w:sz="0" w:space="0" w:color="auto"/>
      </w:divBdr>
    </w:div>
    <w:div w:id="762533016">
      <w:bodyDiv w:val="1"/>
      <w:marLeft w:val="0"/>
      <w:marRight w:val="0"/>
      <w:marTop w:val="0"/>
      <w:marBottom w:val="0"/>
      <w:divBdr>
        <w:top w:val="none" w:sz="0" w:space="0" w:color="auto"/>
        <w:left w:val="none" w:sz="0" w:space="0" w:color="auto"/>
        <w:bottom w:val="none" w:sz="0" w:space="0" w:color="auto"/>
        <w:right w:val="none" w:sz="0" w:space="0" w:color="auto"/>
      </w:divBdr>
    </w:div>
    <w:div w:id="848369752">
      <w:bodyDiv w:val="1"/>
      <w:marLeft w:val="0"/>
      <w:marRight w:val="0"/>
      <w:marTop w:val="0"/>
      <w:marBottom w:val="0"/>
      <w:divBdr>
        <w:top w:val="none" w:sz="0" w:space="0" w:color="auto"/>
        <w:left w:val="none" w:sz="0" w:space="0" w:color="auto"/>
        <w:bottom w:val="none" w:sz="0" w:space="0" w:color="auto"/>
        <w:right w:val="none" w:sz="0" w:space="0" w:color="auto"/>
      </w:divBdr>
    </w:div>
    <w:div w:id="862088798">
      <w:bodyDiv w:val="1"/>
      <w:marLeft w:val="0"/>
      <w:marRight w:val="0"/>
      <w:marTop w:val="0"/>
      <w:marBottom w:val="0"/>
      <w:divBdr>
        <w:top w:val="none" w:sz="0" w:space="0" w:color="auto"/>
        <w:left w:val="none" w:sz="0" w:space="0" w:color="auto"/>
        <w:bottom w:val="none" w:sz="0" w:space="0" w:color="auto"/>
        <w:right w:val="none" w:sz="0" w:space="0" w:color="auto"/>
      </w:divBdr>
    </w:div>
    <w:div w:id="863444636">
      <w:bodyDiv w:val="1"/>
      <w:marLeft w:val="0"/>
      <w:marRight w:val="0"/>
      <w:marTop w:val="0"/>
      <w:marBottom w:val="0"/>
      <w:divBdr>
        <w:top w:val="none" w:sz="0" w:space="0" w:color="auto"/>
        <w:left w:val="none" w:sz="0" w:space="0" w:color="auto"/>
        <w:bottom w:val="none" w:sz="0" w:space="0" w:color="auto"/>
        <w:right w:val="none" w:sz="0" w:space="0" w:color="auto"/>
      </w:divBdr>
    </w:div>
    <w:div w:id="878668469">
      <w:bodyDiv w:val="1"/>
      <w:marLeft w:val="0"/>
      <w:marRight w:val="0"/>
      <w:marTop w:val="0"/>
      <w:marBottom w:val="0"/>
      <w:divBdr>
        <w:top w:val="none" w:sz="0" w:space="0" w:color="auto"/>
        <w:left w:val="none" w:sz="0" w:space="0" w:color="auto"/>
        <w:bottom w:val="none" w:sz="0" w:space="0" w:color="auto"/>
        <w:right w:val="none" w:sz="0" w:space="0" w:color="auto"/>
      </w:divBdr>
    </w:div>
    <w:div w:id="886769110">
      <w:bodyDiv w:val="1"/>
      <w:marLeft w:val="0"/>
      <w:marRight w:val="0"/>
      <w:marTop w:val="0"/>
      <w:marBottom w:val="0"/>
      <w:divBdr>
        <w:top w:val="none" w:sz="0" w:space="0" w:color="auto"/>
        <w:left w:val="none" w:sz="0" w:space="0" w:color="auto"/>
        <w:bottom w:val="none" w:sz="0" w:space="0" w:color="auto"/>
        <w:right w:val="none" w:sz="0" w:space="0" w:color="auto"/>
      </w:divBdr>
    </w:div>
    <w:div w:id="893934580">
      <w:bodyDiv w:val="1"/>
      <w:marLeft w:val="0"/>
      <w:marRight w:val="0"/>
      <w:marTop w:val="0"/>
      <w:marBottom w:val="0"/>
      <w:divBdr>
        <w:top w:val="none" w:sz="0" w:space="0" w:color="auto"/>
        <w:left w:val="none" w:sz="0" w:space="0" w:color="auto"/>
        <w:bottom w:val="none" w:sz="0" w:space="0" w:color="auto"/>
        <w:right w:val="none" w:sz="0" w:space="0" w:color="auto"/>
      </w:divBdr>
    </w:div>
    <w:div w:id="896818519">
      <w:bodyDiv w:val="1"/>
      <w:marLeft w:val="0"/>
      <w:marRight w:val="0"/>
      <w:marTop w:val="0"/>
      <w:marBottom w:val="0"/>
      <w:divBdr>
        <w:top w:val="none" w:sz="0" w:space="0" w:color="auto"/>
        <w:left w:val="none" w:sz="0" w:space="0" w:color="auto"/>
        <w:bottom w:val="none" w:sz="0" w:space="0" w:color="auto"/>
        <w:right w:val="none" w:sz="0" w:space="0" w:color="auto"/>
      </w:divBdr>
    </w:div>
    <w:div w:id="914900671">
      <w:bodyDiv w:val="1"/>
      <w:marLeft w:val="0"/>
      <w:marRight w:val="0"/>
      <w:marTop w:val="0"/>
      <w:marBottom w:val="0"/>
      <w:divBdr>
        <w:top w:val="none" w:sz="0" w:space="0" w:color="auto"/>
        <w:left w:val="none" w:sz="0" w:space="0" w:color="auto"/>
        <w:bottom w:val="none" w:sz="0" w:space="0" w:color="auto"/>
        <w:right w:val="none" w:sz="0" w:space="0" w:color="auto"/>
      </w:divBdr>
    </w:div>
    <w:div w:id="920061520">
      <w:bodyDiv w:val="1"/>
      <w:marLeft w:val="0"/>
      <w:marRight w:val="0"/>
      <w:marTop w:val="0"/>
      <w:marBottom w:val="0"/>
      <w:divBdr>
        <w:top w:val="none" w:sz="0" w:space="0" w:color="auto"/>
        <w:left w:val="none" w:sz="0" w:space="0" w:color="auto"/>
        <w:bottom w:val="none" w:sz="0" w:space="0" w:color="auto"/>
        <w:right w:val="none" w:sz="0" w:space="0" w:color="auto"/>
      </w:divBdr>
    </w:div>
    <w:div w:id="967902787">
      <w:bodyDiv w:val="1"/>
      <w:marLeft w:val="0"/>
      <w:marRight w:val="0"/>
      <w:marTop w:val="0"/>
      <w:marBottom w:val="0"/>
      <w:divBdr>
        <w:top w:val="none" w:sz="0" w:space="0" w:color="auto"/>
        <w:left w:val="none" w:sz="0" w:space="0" w:color="auto"/>
        <w:bottom w:val="none" w:sz="0" w:space="0" w:color="auto"/>
        <w:right w:val="none" w:sz="0" w:space="0" w:color="auto"/>
      </w:divBdr>
    </w:div>
    <w:div w:id="972177431">
      <w:bodyDiv w:val="1"/>
      <w:marLeft w:val="0"/>
      <w:marRight w:val="0"/>
      <w:marTop w:val="0"/>
      <w:marBottom w:val="0"/>
      <w:divBdr>
        <w:top w:val="none" w:sz="0" w:space="0" w:color="auto"/>
        <w:left w:val="none" w:sz="0" w:space="0" w:color="auto"/>
        <w:bottom w:val="none" w:sz="0" w:space="0" w:color="auto"/>
        <w:right w:val="none" w:sz="0" w:space="0" w:color="auto"/>
      </w:divBdr>
    </w:div>
    <w:div w:id="974334667">
      <w:bodyDiv w:val="1"/>
      <w:marLeft w:val="0"/>
      <w:marRight w:val="0"/>
      <w:marTop w:val="0"/>
      <w:marBottom w:val="0"/>
      <w:divBdr>
        <w:top w:val="none" w:sz="0" w:space="0" w:color="auto"/>
        <w:left w:val="none" w:sz="0" w:space="0" w:color="auto"/>
        <w:bottom w:val="none" w:sz="0" w:space="0" w:color="auto"/>
        <w:right w:val="none" w:sz="0" w:space="0" w:color="auto"/>
      </w:divBdr>
    </w:div>
    <w:div w:id="1008941170">
      <w:bodyDiv w:val="1"/>
      <w:marLeft w:val="0"/>
      <w:marRight w:val="0"/>
      <w:marTop w:val="0"/>
      <w:marBottom w:val="0"/>
      <w:divBdr>
        <w:top w:val="none" w:sz="0" w:space="0" w:color="auto"/>
        <w:left w:val="none" w:sz="0" w:space="0" w:color="auto"/>
        <w:bottom w:val="none" w:sz="0" w:space="0" w:color="auto"/>
        <w:right w:val="none" w:sz="0" w:space="0" w:color="auto"/>
      </w:divBdr>
      <w:divsChild>
        <w:div w:id="63183821">
          <w:marLeft w:val="0"/>
          <w:marRight w:val="0"/>
          <w:marTop w:val="0"/>
          <w:marBottom w:val="0"/>
          <w:divBdr>
            <w:top w:val="none" w:sz="0" w:space="0" w:color="auto"/>
            <w:left w:val="none" w:sz="0" w:space="0" w:color="auto"/>
            <w:bottom w:val="none" w:sz="0" w:space="0" w:color="auto"/>
            <w:right w:val="none" w:sz="0" w:space="0" w:color="auto"/>
          </w:divBdr>
          <w:divsChild>
            <w:div w:id="1795439296">
              <w:marLeft w:val="0"/>
              <w:marRight w:val="0"/>
              <w:marTop w:val="0"/>
              <w:marBottom w:val="0"/>
              <w:divBdr>
                <w:top w:val="none" w:sz="0" w:space="0" w:color="auto"/>
                <w:left w:val="none" w:sz="0" w:space="0" w:color="auto"/>
                <w:bottom w:val="none" w:sz="0" w:space="0" w:color="auto"/>
                <w:right w:val="none" w:sz="0" w:space="0" w:color="auto"/>
              </w:divBdr>
              <w:divsChild>
                <w:div w:id="628512240">
                  <w:marLeft w:val="0"/>
                  <w:marRight w:val="0"/>
                  <w:marTop w:val="0"/>
                  <w:marBottom w:val="0"/>
                  <w:divBdr>
                    <w:top w:val="none" w:sz="0" w:space="0" w:color="auto"/>
                    <w:left w:val="none" w:sz="0" w:space="0" w:color="auto"/>
                    <w:bottom w:val="none" w:sz="0" w:space="0" w:color="auto"/>
                    <w:right w:val="none" w:sz="0" w:space="0" w:color="auto"/>
                  </w:divBdr>
                  <w:divsChild>
                    <w:div w:id="105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8044">
          <w:marLeft w:val="0"/>
          <w:marRight w:val="0"/>
          <w:marTop w:val="0"/>
          <w:marBottom w:val="0"/>
          <w:divBdr>
            <w:top w:val="none" w:sz="0" w:space="0" w:color="auto"/>
            <w:left w:val="none" w:sz="0" w:space="0" w:color="auto"/>
            <w:bottom w:val="none" w:sz="0" w:space="0" w:color="auto"/>
            <w:right w:val="none" w:sz="0" w:space="0" w:color="auto"/>
          </w:divBdr>
          <w:divsChild>
            <w:div w:id="1162745561">
              <w:marLeft w:val="0"/>
              <w:marRight w:val="0"/>
              <w:marTop w:val="0"/>
              <w:marBottom w:val="0"/>
              <w:divBdr>
                <w:top w:val="none" w:sz="0" w:space="0" w:color="auto"/>
                <w:left w:val="none" w:sz="0" w:space="0" w:color="auto"/>
                <w:bottom w:val="none" w:sz="0" w:space="0" w:color="auto"/>
                <w:right w:val="none" w:sz="0" w:space="0" w:color="auto"/>
              </w:divBdr>
              <w:divsChild>
                <w:div w:id="1795059885">
                  <w:marLeft w:val="0"/>
                  <w:marRight w:val="0"/>
                  <w:marTop w:val="0"/>
                  <w:marBottom w:val="0"/>
                  <w:divBdr>
                    <w:top w:val="none" w:sz="0" w:space="0" w:color="auto"/>
                    <w:left w:val="none" w:sz="0" w:space="0" w:color="auto"/>
                    <w:bottom w:val="none" w:sz="0" w:space="0" w:color="auto"/>
                    <w:right w:val="none" w:sz="0" w:space="0" w:color="auto"/>
                  </w:divBdr>
                  <w:divsChild>
                    <w:div w:id="6697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95110">
      <w:bodyDiv w:val="1"/>
      <w:marLeft w:val="0"/>
      <w:marRight w:val="0"/>
      <w:marTop w:val="0"/>
      <w:marBottom w:val="0"/>
      <w:divBdr>
        <w:top w:val="none" w:sz="0" w:space="0" w:color="auto"/>
        <w:left w:val="none" w:sz="0" w:space="0" w:color="auto"/>
        <w:bottom w:val="none" w:sz="0" w:space="0" w:color="auto"/>
        <w:right w:val="none" w:sz="0" w:space="0" w:color="auto"/>
      </w:divBdr>
    </w:div>
    <w:div w:id="1053963963">
      <w:bodyDiv w:val="1"/>
      <w:marLeft w:val="0"/>
      <w:marRight w:val="0"/>
      <w:marTop w:val="0"/>
      <w:marBottom w:val="0"/>
      <w:divBdr>
        <w:top w:val="none" w:sz="0" w:space="0" w:color="auto"/>
        <w:left w:val="none" w:sz="0" w:space="0" w:color="auto"/>
        <w:bottom w:val="none" w:sz="0" w:space="0" w:color="auto"/>
        <w:right w:val="none" w:sz="0" w:space="0" w:color="auto"/>
      </w:divBdr>
    </w:div>
    <w:div w:id="1087314192">
      <w:bodyDiv w:val="1"/>
      <w:marLeft w:val="0"/>
      <w:marRight w:val="0"/>
      <w:marTop w:val="0"/>
      <w:marBottom w:val="0"/>
      <w:divBdr>
        <w:top w:val="none" w:sz="0" w:space="0" w:color="auto"/>
        <w:left w:val="none" w:sz="0" w:space="0" w:color="auto"/>
        <w:bottom w:val="none" w:sz="0" w:space="0" w:color="auto"/>
        <w:right w:val="none" w:sz="0" w:space="0" w:color="auto"/>
      </w:divBdr>
    </w:div>
    <w:div w:id="1139375179">
      <w:bodyDiv w:val="1"/>
      <w:marLeft w:val="0"/>
      <w:marRight w:val="0"/>
      <w:marTop w:val="0"/>
      <w:marBottom w:val="0"/>
      <w:divBdr>
        <w:top w:val="none" w:sz="0" w:space="0" w:color="auto"/>
        <w:left w:val="none" w:sz="0" w:space="0" w:color="auto"/>
        <w:bottom w:val="none" w:sz="0" w:space="0" w:color="auto"/>
        <w:right w:val="none" w:sz="0" w:space="0" w:color="auto"/>
      </w:divBdr>
    </w:div>
    <w:div w:id="1140339074">
      <w:bodyDiv w:val="1"/>
      <w:marLeft w:val="0"/>
      <w:marRight w:val="0"/>
      <w:marTop w:val="0"/>
      <w:marBottom w:val="0"/>
      <w:divBdr>
        <w:top w:val="none" w:sz="0" w:space="0" w:color="auto"/>
        <w:left w:val="none" w:sz="0" w:space="0" w:color="auto"/>
        <w:bottom w:val="none" w:sz="0" w:space="0" w:color="auto"/>
        <w:right w:val="none" w:sz="0" w:space="0" w:color="auto"/>
      </w:divBdr>
    </w:div>
    <w:div w:id="1175681808">
      <w:bodyDiv w:val="1"/>
      <w:marLeft w:val="0"/>
      <w:marRight w:val="0"/>
      <w:marTop w:val="0"/>
      <w:marBottom w:val="0"/>
      <w:divBdr>
        <w:top w:val="none" w:sz="0" w:space="0" w:color="auto"/>
        <w:left w:val="none" w:sz="0" w:space="0" w:color="auto"/>
        <w:bottom w:val="none" w:sz="0" w:space="0" w:color="auto"/>
        <w:right w:val="none" w:sz="0" w:space="0" w:color="auto"/>
      </w:divBdr>
    </w:div>
    <w:div w:id="1182432143">
      <w:bodyDiv w:val="1"/>
      <w:marLeft w:val="0"/>
      <w:marRight w:val="0"/>
      <w:marTop w:val="0"/>
      <w:marBottom w:val="0"/>
      <w:divBdr>
        <w:top w:val="none" w:sz="0" w:space="0" w:color="auto"/>
        <w:left w:val="none" w:sz="0" w:space="0" w:color="auto"/>
        <w:bottom w:val="none" w:sz="0" w:space="0" w:color="auto"/>
        <w:right w:val="none" w:sz="0" w:space="0" w:color="auto"/>
      </w:divBdr>
    </w:div>
    <w:div w:id="1194922992">
      <w:bodyDiv w:val="1"/>
      <w:marLeft w:val="0"/>
      <w:marRight w:val="0"/>
      <w:marTop w:val="0"/>
      <w:marBottom w:val="0"/>
      <w:divBdr>
        <w:top w:val="none" w:sz="0" w:space="0" w:color="auto"/>
        <w:left w:val="none" w:sz="0" w:space="0" w:color="auto"/>
        <w:bottom w:val="none" w:sz="0" w:space="0" w:color="auto"/>
        <w:right w:val="none" w:sz="0" w:space="0" w:color="auto"/>
      </w:divBdr>
    </w:div>
    <w:div w:id="1217012229">
      <w:bodyDiv w:val="1"/>
      <w:marLeft w:val="0"/>
      <w:marRight w:val="0"/>
      <w:marTop w:val="0"/>
      <w:marBottom w:val="0"/>
      <w:divBdr>
        <w:top w:val="none" w:sz="0" w:space="0" w:color="auto"/>
        <w:left w:val="none" w:sz="0" w:space="0" w:color="auto"/>
        <w:bottom w:val="none" w:sz="0" w:space="0" w:color="auto"/>
        <w:right w:val="none" w:sz="0" w:space="0" w:color="auto"/>
      </w:divBdr>
    </w:div>
    <w:div w:id="1281299534">
      <w:bodyDiv w:val="1"/>
      <w:marLeft w:val="0"/>
      <w:marRight w:val="0"/>
      <w:marTop w:val="0"/>
      <w:marBottom w:val="0"/>
      <w:divBdr>
        <w:top w:val="none" w:sz="0" w:space="0" w:color="auto"/>
        <w:left w:val="none" w:sz="0" w:space="0" w:color="auto"/>
        <w:bottom w:val="none" w:sz="0" w:space="0" w:color="auto"/>
        <w:right w:val="none" w:sz="0" w:space="0" w:color="auto"/>
      </w:divBdr>
    </w:div>
    <w:div w:id="1312097628">
      <w:bodyDiv w:val="1"/>
      <w:marLeft w:val="0"/>
      <w:marRight w:val="0"/>
      <w:marTop w:val="0"/>
      <w:marBottom w:val="0"/>
      <w:divBdr>
        <w:top w:val="none" w:sz="0" w:space="0" w:color="auto"/>
        <w:left w:val="none" w:sz="0" w:space="0" w:color="auto"/>
        <w:bottom w:val="none" w:sz="0" w:space="0" w:color="auto"/>
        <w:right w:val="none" w:sz="0" w:space="0" w:color="auto"/>
      </w:divBdr>
    </w:div>
    <w:div w:id="1321227657">
      <w:bodyDiv w:val="1"/>
      <w:marLeft w:val="0"/>
      <w:marRight w:val="0"/>
      <w:marTop w:val="0"/>
      <w:marBottom w:val="0"/>
      <w:divBdr>
        <w:top w:val="none" w:sz="0" w:space="0" w:color="auto"/>
        <w:left w:val="none" w:sz="0" w:space="0" w:color="auto"/>
        <w:bottom w:val="none" w:sz="0" w:space="0" w:color="auto"/>
        <w:right w:val="none" w:sz="0" w:space="0" w:color="auto"/>
      </w:divBdr>
    </w:div>
    <w:div w:id="1343311803">
      <w:bodyDiv w:val="1"/>
      <w:marLeft w:val="0"/>
      <w:marRight w:val="0"/>
      <w:marTop w:val="0"/>
      <w:marBottom w:val="0"/>
      <w:divBdr>
        <w:top w:val="none" w:sz="0" w:space="0" w:color="auto"/>
        <w:left w:val="none" w:sz="0" w:space="0" w:color="auto"/>
        <w:bottom w:val="none" w:sz="0" w:space="0" w:color="auto"/>
        <w:right w:val="none" w:sz="0" w:space="0" w:color="auto"/>
      </w:divBdr>
    </w:div>
    <w:div w:id="1358002198">
      <w:bodyDiv w:val="1"/>
      <w:marLeft w:val="0"/>
      <w:marRight w:val="0"/>
      <w:marTop w:val="0"/>
      <w:marBottom w:val="0"/>
      <w:divBdr>
        <w:top w:val="none" w:sz="0" w:space="0" w:color="auto"/>
        <w:left w:val="none" w:sz="0" w:space="0" w:color="auto"/>
        <w:bottom w:val="none" w:sz="0" w:space="0" w:color="auto"/>
        <w:right w:val="none" w:sz="0" w:space="0" w:color="auto"/>
      </w:divBdr>
    </w:div>
    <w:div w:id="1369378954">
      <w:bodyDiv w:val="1"/>
      <w:marLeft w:val="0"/>
      <w:marRight w:val="0"/>
      <w:marTop w:val="0"/>
      <w:marBottom w:val="0"/>
      <w:divBdr>
        <w:top w:val="none" w:sz="0" w:space="0" w:color="auto"/>
        <w:left w:val="none" w:sz="0" w:space="0" w:color="auto"/>
        <w:bottom w:val="none" w:sz="0" w:space="0" w:color="auto"/>
        <w:right w:val="none" w:sz="0" w:space="0" w:color="auto"/>
      </w:divBdr>
    </w:div>
    <w:div w:id="1389840513">
      <w:bodyDiv w:val="1"/>
      <w:marLeft w:val="0"/>
      <w:marRight w:val="0"/>
      <w:marTop w:val="0"/>
      <w:marBottom w:val="0"/>
      <w:divBdr>
        <w:top w:val="none" w:sz="0" w:space="0" w:color="auto"/>
        <w:left w:val="none" w:sz="0" w:space="0" w:color="auto"/>
        <w:bottom w:val="none" w:sz="0" w:space="0" w:color="auto"/>
        <w:right w:val="none" w:sz="0" w:space="0" w:color="auto"/>
      </w:divBdr>
    </w:div>
    <w:div w:id="1399866858">
      <w:bodyDiv w:val="1"/>
      <w:marLeft w:val="0"/>
      <w:marRight w:val="0"/>
      <w:marTop w:val="0"/>
      <w:marBottom w:val="0"/>
      <w:divBdr>
        <w:top w:val="none" w:sz="0" w:space="0" w:color="auto"/>
        <w:left w:val="none" w:sz="0" w:space="0" w:color="auto"/>
        <w:bottom w:val="none" w:sz="0" w:space="0" w:color="auto"/>
        <w:right w:val="none" w:sz="0" w:space="0" w:color="auto"/>
      </w:divBdr>
    </w:div>
    <w:div w:id="1441030546">
      <w:bodyDiv w:val="1"/>
      <w:marLeft w:val="0"/>
      <w:marRight w:val="0"/>
      <w:marTop w:val="0"/>
      <w:marBottom w:val="0"/>
      <w:divBdr>
        <w:top w:val="none" w:sz="0" w:space="0" w:color="auto"/>
        <w:left w:val="none" w:sz="0" w:space="0" w:color="auto"/>
        <w:bottom w:val="none" w:sz="0" w:space="0" w:color="auto"/>
        <w:right w:val="none" w:sz="0" w:space="0" w:color="auto"/>
      </w:divBdr>
    </w:div>
    <w:div w:id="1463422669">
      <w:bodyDiv w:val="1"/>
      <w:marLeft w:val="0"/>
      <w:marRight w:val="0"/>
      <w:marTop w:val="0"/>
      <w:marBottom w:val="0"/>
      <w:divBdr>
        <w:top w:val="none" w:sz="0" w:space="0" w:color="auto"/>
        <w:left w:val="none" w:sz="0" w:space="0" w:color="auto"/>
        <w:bottom w:val="none" w:sz="0" w:space="0" w:color="auto"/>
        <w:right w:val="none" w:sz="0" w:space="0" w:color="auto"/>
      </w:divBdr>
    </w:div>
    <w:div w:id="1472744780">
      <w:bodyDiv w:val="1"/>
      <w:marLeft w:val="0"/>
      <w:marRight w:val="0"/>
      <w:marTop w:val="0"/>
      <w:marBottom w:val="0"/>
      <w:divBdr>
        <w:top w:val="none" w:sz="0" w:space="0" w:color="auto"/>
        <w:left w:val="none" w:sz="0" w:space="0" w:color="auto"/>
        <w:bottom w:val="none" w:sz="0" w:space="0" w:color="auto"/>
        <w:right w:val="none" w:sz="0" w:space="0" w:color="auto"/>
      </w:divBdr>
    </w:div>
    <w:div w:id="1478840215">
      <w:bodyDiv w:val="1"/>
      <w:marLeft w:val="0"/>
      <w:marRight w:val="0"/>
      <w:marTop w:val="0"/>
      <w:marBottom w:val="0"/>
      <w:divBdr>
        <w:top w:val="none" w:sz="0" w:space="0" w:color="auto"/>
        <w:left w:val="none" w:sz="0" w:space="0" w:color="auto"/>
        <w:bottom w:val="none" w:sz="0" w:space="0" w:color="auto"/>
        <w:right w:val="none" w:sz="0" w:space="0" w:color="auto"/>
      </w:divBdr>
    </w:div>
    <w:div w:id="1486438570">
      <w:bodyDiv w:val="1"/>
      <w:marLeft w:val="0"/>
      <w:marRight w:val="0"/>
      <w:marTop w:val="0"/>
      <w:marBottom w:val="0"/>
      <w:divBdr>
        <w:top w:val="none" w:sz="0" w:space="0" w:color="auto"/>
        <w:left w:val="none" w:sz="0" w:space="0" w:color="auto"/>
        <w:bottom w:val="none" w:sz="0" w:space="0" w:color="auto"/>
        <w:right w:val="none" w:sz="0" w:space="0" w:color="auto"/>
      </w:divBdr>
    </w:div>
    <w:div w:id="1493255655">
      <w:bodyDiv w:val="1"/>
      <w:marLeft w:val="0"/>
      <w:marRight w:val="0"/>
      <w:marTop w:val="0"/>
      <w:marBottom w:val="0"/>
      <w:divBdr>
        <w:top w:val="none" w:sz="0" w:space="0" w:color="auto"/>
        <w:left w:val="none" w:sz="0" w:space="0" w:color="auto"/>
        <w:bottom w:val="none" w:sz="0" w:space="0" w:color="auto"/>
        <w:right w:val="none" w:sz="0" w:space="0" w:color="auto"/>
      </w:divBdr>
    </w:div>
    <w:div w:id="1528759466">
      <w:bodyDiv w:val="1"/>
      <w:marLeft w:val="0"/>
      <w:marRight w:val="0"/>
      <w:marTop w:val="0"/>
      <w:marBottom w:val="0"/>
      <w:divBdr>
        <w:top w:val="none" w:sz="0" w:space="0" w:color="auto"/>
        <w:left w:val="none" w:sz="0" w:space="0" w:color="auto"/>
        <w:bottom w:val="none" w:sz="0" w:space="0" w:color="auto"/>
        <w:right w:val="none" w:sz="0" w:space="0" w:color="auto"/>
      </w:divBdr>
    </w:div>
    <w:div w:id="1533761851">
      <w:bodyDiv w:val="1"/>
      <w:marLeft w:val="0"/>
      <w:marRight w:val="0"/>
      <w:marTop w:val="0"/>
      <w:marBottom w:val="0"/>
      <w:divBdr>
        <w:top w:val="none" w:sz="0" w:space="0" w:color="auto"/>
        <w:left w:val="none" w:sz="0" w:space="0" w:color="auto"/>
        <w:bottom w:val="none" w:sz="0" w:space="0" w:color="auto"/>
        <w:right w:val="none" w:sz="0" w:space="0" w:color="auto"/>
      </w:divBdr>
    </w:div>
    <w:div w:id="1533877591">
      <w:bodyDiv w:val="1"/>
      <w:marLeft w:val="0"/>
      <w:marRight w:val="0"/>
      <w:marTop w:val="0"/>
      <w:marBottom w:val="0"/>
      <w:divBdr>
        <w:top w:val="none" w:sz="0" w:space="0" w:color="auto"/>
        <w:left w:val="none" w:sz="0" w:space="0" w:color="auto"/>
        <w:bottom w:val="none" w:sz="0" w:space="0" w:color="auto"/>
        <w:right w:val="none" w:sz="0" w:space="0" w:color="auto"/>
      </w:divBdr>
    </w:div>
    <w:div w:id="1553927944">
      <w:bodyDiv w:val="1"/>
      <w:marLeft w:val="0"/>
      <w:marRight w:val="0"/>
      <w:marTop w:val="0"/>
      <w:marBottom w:val="0"/>
      <w:divBdr>
        <w:top w:val="none" w:sz="0" w:space="0" w:color="auto"/>
        <w:left w:val="none" w:sz="0" w:space="0" w:color="auto"/>
        <w:bottom w:val="none" w:sz="0" w:space="0" w:color="auto"/>
        <w:right w:val="none" w:sz="0" w:space="0" w:color="auto"/>
      </w:divBdr>
    </w:div>
    <w:div w:id="1566449146">
      <w:bodyDiv w:val="1"/>
      <w:marLeft w:val="0"/>
      <w:marRight w:val="0"/>
      <w:marTop w:val="0"/>
      <w:marBottom w:val="0"/>
      <w:divBdr>
        <w:top w:val="none" w:sz="0" w:space="0" w:color="auto"/>
        <w:left w:val="none" w:sz="0" w:space="0" w:color="auto"/>
        <w:bottom w:val="none" w:sz="0" w:space="0" w:color="auto"/>
        <w:right w:val="none" w:sz="0" w:space="0" w:color="auto"/>
      </w:divBdr>
    </w:div>
    <w:div w:id="1567259137">
      <w:bodyDiv w:val="1"/>
      <w:marLeft w:val="0"/>
      <w:marRight w:val="0"/>
      <w:marTop w:val="0"/>
      <w:marBottom w:val="0"/>
      <w:divBdr>
        <w:top w:val="none" w:sz="0" w:space="0" w:color="auto"/>
        <w:left w:val="none" w:sz="0" w:space="0" w:color="auto"/>
        <w:bottom w:val="none" w:sz="0" w:space="0" w:color="auto"/>
        <w:right w:val="none" w:sz="0" w:space="0" w:color="auto"/>
      </w:divBdr>
    </w:div>
    <w:div w:id="1631398294">
      <w:bodyDiv w:val="1"/>
      <w:marLeft w:val="0"/>
      <w:marRight w:val="0"/>
      <w:marTop w:val="0"/>
      <w:marBottom w:val="0"/>
      <w:divBdr>
        <w:top w:val="none" w:sz="0" w:space="0" w:color="auto"/>
        <w:left w:val="none" w:sz="0" w:space="0" w:color="auto"/>
        <w:bottom w:val="none" w:sz="0" w:space="0" w:color="auto"/>
        <w:right w:val="none" w:sz="0" w:space="0" w:color="auto"/>
      </w:divBdr>
    </w:div>
    <w:div w:id="1641181748">
      <w:bodyDiv w:val="1"/>
      <w:marLeft w:val="0"/>
      <w:marRight w:val="0"/>
      <w:marTop w:val="0"/>
      <w:marBottom w:val="0"/>
      <w:divBdr>
        <w:top w:val="none" w:sz="0" w:space="0" w:color="auto"/>
        <w:left w:val="none" w:sz="0" w:space="0" w:color="auto"/>
        <w:bottom w:val="none" w:sz="0" w:space="0" w:color="auto"/>
        <w:right w:val="none" w:sz="0" w:space="0" w:color="auto"/>
      </w:divBdr>
    </w:div>
    <w:div w:id="1649826045">
      <w:bodyDiv w:val="1"/>
      <w:marLeft w:val="0"/>
      <w:marRight w:val="0"/>
      <w:marTop w:val="0"/>
      <w:marBottom w:val="0"/>
      <w:divBdr>
        <w:top w:val="none" w:sz="0" w:space="0" w:color="auto"/>
        <w:left w:val="none" w:sz="0" w:space="0" w:color="auto"/>
        <w:bottom w:val="none" w:sz="0" w:space="0" w:color="auto"/>
        <w:right w:val="none" w:sz="0" w:space="0" w:color="auto"/>
      </w:divBdr>
    </w:div>
    <w:div w:id="1650282845">
      <w:bodyDiv w:val="1"/>
      <w:marLeft w:val="0"/>
      <w:marRight w:val="0"/>
      <w:marTop w:val="0"/>
      <w:marBottom w:val="0"/>
      <w:divBdr>
        <w:top w:val="none" w:sz="0" w:space="0" w:color="auto"/>
        <w:left w:val="none" w:sz="0" w:space="0" w:color="auto"/>
        <w:bottom w:val="none" w:sz="0" w:space="0" w:color="auto"/>
        <w:right w:val="none" w:sz="0" w:space="0" w:color="auto"/>
      </w:divBdr>
    </w:div>
    <w:div w:id="1665428949">
      <w:bodyDiv w:val="1"/>
      <w:marLeft w:val="0"/>
      <w:marRight w:val="0"/>
      <w:marTop w:val="0"/>
      <w:marBottom w:val="0"/>
      <w:divBdr>
        <w:top w:val="none" w:sz="0" w:space="0" w:color="auto"/>
        <w:left w:val="none" w:sz="0" w:space="0" w:color="auto"/>
        <w:bottom w:val="none" w:sz="0" w:space="0" w:color="auto"/>
        <w:right w:val="none" w:sz="0" w:space="0" w:color="auto"/>
      </w:divBdr>
    </w:div>
    <w:div w:id="1666083421">
      <w:bodyDiv w:val="1"/>
      <w:marLeft w:val="0"/>
      <w:marRight w:val="0"/>
      <w:marTop w:val="0"/>
      <w:marBottom w:val="0"/>
      <w:divBdr>
        <w:top w:val="none" w:sz="0" w:space="0" w:color="auto"/>
        <w:left w:val="none" w:sz="0" w:space="0" w:color="auto"/>
        <w:bottom w:val="none" w:sz="0" w:space="0" w:color="auto"/>
        <w:right w:val="none" w:sz="0" w:space="0" w:color="auto"/>
      </w:divBdr>
    </w:div>
    <w:div w:id="1670013969">
      <w:bodyDiv w:val="1"/>
      <w:marLeft w:val="0"/>
      <w:marRight w:val="0"/>
      <w:marTop w:val="0"/>
      <w:marBottom w:val="0"/>
      <w:divBdr>
        <w:top w:val="none" w:sz="0" w:space="0" w:color="auto"/>
        <w:left w:val="none" w:sz="0" w:space="0" w:color="auto"/>
        <w:bottom w:val="none" w:sz="0" w:space="0" w:color="auto"/>
        <w:right w:val="none" w:sz="0" w:space="0" w:color="auto"/>
      </w:divBdr>
    </w:div>
    <w:div w:id="1674985979">
      <w:bodyDiv w:val="1"/>
      <w:marLeft w:val="0"/>
      <w:marRight w:val="0"/>
      <w:marTop w:val="0"/>
      <w:marBottom w:val="0"/>
      <w:divBdr>
        <w:top w:val="none" w:sz="0" w:space="0" w:color="auto"/>
        <w:left w:val="none" w:sz="0" w:space="0" w:color="auto"/>
        <w:bottom w:val="none" w:sz="0" w:space="0" w:color="auto"/>
        <w:right w:val="none" w:sz="0" w:space="0" w:color="auto"/>
      </w:divBdr>
    </w:div>
    <w:div w:id="1676305833">
      <w:bodyDiv w:val="1"/>
      <w:marLeft w:val="0"/>
      <w:marRight w:val="0"/>
      <w:marTop w:val="0"/>
      <w:marBottom w:val="0"/>
      <w:divBdr>
        <w:top w:val="none" w:sz="0" w:space="0" w:color="auto"/>
        <w:left w:val="none" w:sz="0" w:space="0" w:color="auto"/>
        <w:bottom w:val="none" w:sz="0" w:space="0" w:color="auto"/>
        <w:right w:val="none" w:sz="0" w:space="0" w:color="auto"/>
      </w:divBdr>
    </w:div>
    <w:div w:id="1688558568">
      <w:bodyDiv w:val="1"/>
      <w:marLeft w:val="0"/>
      <w:marRight w:val="0"/>
      <w:marTop w:val="0"/>
      <w:marBottom w:val="0"/>
      <w:divBdr>
        <w:top w:val="none" w:sz="0" w:space="0" w:color="auto"/>
        <w:left w:val="none" w:sz="0" w:space="0" w:color="auto"/>
        <w:bottom w:val="none" w:sz="0" w:space="0" w:color="auto"/>
        <w:right w:val="none" w:sz="0" w:space="0" w:color="auto"/>
      </w:divBdr>
    </w:div>
    <w:div w:id="1688867062">
      <w:bodyDiv w:val="1"/>
      <w:marLeft w:val="0"/>
      <w:marRight w:val="0"/>
      <w:marTop w:val="0"/>
      <w:marBottom w:val="0"/>
      <w:divBdr>
        <w:top w:val="none" w:sz="0" w:space="0" w:color="auto"/>
        <w:left w:val="none" w:sz="0" w:space="0" w:color="auto"/>
        <w:bottom w:val="none" w:sz="0" w:space="0" w:color="auto"/>
        <w:right w:val="none" w:sz="0" w:space="0" w:color="auto"/>
      </w:divBdr>
    </w:div>
    <w:div w:id="1706448445">
      <w:bodyDiv w:val="1"/>
      <w:marLeft w:val="0"/>
      <w:marRight w:val="0"/>
      <w:marTop w:val="0"/>
      <w:marBottom w:val="0"/>
      <w:divBdr>
        <w:top w:val="none" w:sz="0" w:space="0" w:color="auto"/>
        <w:left w:val="none" w:sz="0" w:space="0" w:color="auto"/>
        <w:bottom w:val="none" w:sz="0" w:space="0" w:color="auto"/>
        <w:right w:val="none" w:sz="0" w:space="0" w:color="auto"/>
      </w:divBdr>
    </w:div>
    <w:div w:id="1750611371">
      <w:bodyDiv w:val="1"/>
      <w:marLeft w:val="0"/>
      <w:marRight w:val="0"/>
      <w:marTop w:val="0"/>
      <w:marBottom w:val="0"/>
      <w:divBdr>
        <w:top w:val="none" w:sz="0" w:space="0" w:color="auto"/>
        <w:left w:val="none" w:sz="0" w:space="0" w:color="auto"/>
        <w:bottom w:val="none" w:sz="0" w:space="0" w:color="auto"/>
        <w:right w:val="none" w:sz="0" w:space="0" w:color="auto"/>
      </w:divBdr>
    </w:div>
    <w:div w:id="1753047002">
      <w:bodyDiv w:val="1"/>
      <w:marLeft w:val="0"/>
      <w:marRight w:val="0"/>
      <w:marTop w:val="0"/>
      <w:marBottom w:val="0"/>
      <w:divBdr>
        <w:top w:val="none" w:sz="0" w:space="0" w:color="auto"/>
        <w:left w:val="none" w:sz="0" w:space="0" w:color="auto"/>
        <w:bottom w:val="none" w:sz="0" w:space="0" w:color="auto"/>
        <w:right w:val="none" w:sz="0" w:space="0" w:color="auto"/>
      </w:divBdr>
    </w:div>
    <w:div w:id="1754626974">
      <w:bodyDiv w:val="1"/>
      <w:marLeft w:val="0"/>
      <w:marRight w:val="0"/>
      <w:marTop w:val="0"/>
      <w:marBottom w:val="0"/>
      <w:divBdr>
        <w:top w:val="none" w:sz="0" w:space="0" w:color="auto"/>
        <w:left w:val="none" w:sz="0" w:space="0" w:color="auto"/>
        <w:bottom w:val="none" w:sz="0" w:space="0" w:color="auto"/>
        <w:right w:val="none" w:sz="0" w:space="0" w:color="auto"/>
      </w:divBdr>
    </w:div>
    <w:div w:id="1762799792">
      <w:bodyDiv w:val="1"/>
      <w:marLeft w:val="0"/>
      <w:marRight w:val="0"/>
      <w:marTop w:val="0"/>
      <w:marBottom w:val="0"/>
      <w:divBdr>
        <w:top w:val="none" w:sz="0" w:space="0" w:color="auto"/>
        <w:left w:val="none" w:sz="0" w:space="0" w:color="auto"/>
        <w:bottom w:val="none" w:sz="0" w:space="0" w:color="auto"/>
        <w:right w:val="none" w:sz="0" w:space="0" w:color="auto"/>
      </w:divBdr>
    </w:div>
    <w:div w:id="1805001224">
      <w:bodyDiv w:val="1"/>
      <w:marLeft w:val="0"/>
      <w:marRight w:val="0"/>
      <w:marTop w:val="0"/>
      <w:marBottom w:val="0"/>
      <w:divBdr>
        <w:top w:val="none" w:sz="0" w:space="0" w:color="auto"/>
        <w:left w:val="none" w:sz="0" w:space="0" w:color="auto"/>
        <w:bottom w:val="none" w:sz="0" w:space="0" w:color="auto"/>
        <w:right w:val="none" w:sz="0" w:space="0" w:color="auto"/>
      </w:divBdr>
    </w:div>
    <w:div w:id="1822849895">
      <w:bodyDiv w:val="1"/>
      <w:marLeft w:val="0"/>
      <w:marRight w:val="0"/>
      <w:marTop w:val="0"/>
      <w:marBottom w:val="0"/>
      <w:divBdr>
        <w:top w:val="none" w:sz="0" w:space="0" w:color="auto"/>
        <w:left w:val="none" w:sz="0" w:space="0" w:color="auto"/>
        <w:bottom w:val="none" w:sz="0" w:space="0" w:color="auto"/>
        <w:right w:val="none" w:sz="0" w:space="0" w:color="auto"/>
      </w:divBdr>
    </w:div>
    <w:div w:id="1828474079">
      <w:bodyDiv w:val="1"/>
      <w:marLeft w:val="0"/>
      <w:marRight w:val="0"/>
      <w:marTop w:val="0"/>
      <w:marBottom w:val="0"/>
      <w:divBdr>
        <w:top w:val="none" w:sz="0" w:space="0" w:color="auto"/>
        <w:left w:val="none" w:sz="0" w:space="0" w:color="auto"/>
        <w:bottom w:val="none" w:sz="0" w:space="0" w:color="auto"/>
        <w:right w:val="none" w:sz="0" w:space="0" w:color="auto"/>
      </w:divBdr>
    </w:div>
    <w:div w:id="1837188825">
      <w:bodyDiv w:val="1"/>
      <w:marLeft w:val="0"/>
      <w:marRight w:val="0"/>
      <w:marTop w:val="0"/>
      <w:marBottom w:val="0"/>
      <w:divBdr>
        <w:top w:val="none" w:sz="0" w:space="0" w:color="auto"/>
        <w:left w:val="none" w:sz="0" w:space="0" w:color="auto"/>
        <w:bottom w:val="none" w:sz="0" w:space="0" w:color="auto"/>
        <w:right w:val="none" w:sz="0" w:space="0" w:color="auto"/>
      </w:divBdr>
    </w:div>
    <w:div w:id="1860965307">
      <w:bodyDiv w:val="1"/>
      <w:marLeft w:val="0"/>
      <w:marRight w:val="0"/>
      <w:marTop w:val="0"/>
      <w:marBottom w:val="0"/>
      <w:divBdr>
        <w:top w:val="none" w:sz="0" w:space="0" w:color="auto"/>
        <w:left w:val="none" w:sz="0" w:space="0" w:color="auto"/>
        <w:bottom w:val="none" w:sz="0" w:space="0" w:color="auto"/>
        <w:right w:val="none" w:sz="0" w:space="0" w:color="auto"/>
      </w:divBdr>
    </w:div>
    <w:div w:id="1875969155">
      <w:bodyDiv w:val="1"/>
      <w:marLeft w:val="0"/>
      <w:marRight w:val="0"/>
      <w:marTop w:val="0"/>
      <w:marBottom w:val="0"/>
      <w:divBdr>
        <w:top w:val="none" w:sz="0" w:space="0" w:color="auto"/>
        <w:left w:val="none" w:sz="0" w:space="0" w:color="auto"/>
        <w:bottom w:val="none" w:sz="0" w:space="0" w:color="auto"/>
        <w:right w:val="none" w:sz="0" w:space="0" w:color="auto"/>
      </w:divBdr>
    </w:div>
    <w:div w:id="1887375694">
      <w:bodyDiv w:val="1"/>
      <w:marLeft w:val="0"/>
      <w:marRight w:val="0"/>
      <w:marTop w:val="0"/>
      <w:marBottom w:val="0"/>
      <w:divBdr>
        <w:top w:val="none" w:sz="0" w:space="0" w:color="auto"/>
        <w:left w:val="none" w:sz="0" w:space="0" w:color="auto"/>
        <w:bottom w:val="none" w:sz="0" w:space="0" w:color="auto"/>
        <w:right w:val="none" w:sz="0" w:space="0" w:color="auto"/>
      </w:divBdr>
    </w:div>
    <w:div w:id="1892230675">
      <w:bodyDiv w:val="1"/>
      <w:marLeft w:val="0"/>
      <w:marRight w:val="0"/>
      <w:marTop w:val="0"/>
      <w:marBottom w:val="0"/>
      <w:divBdr>
        <w:top w:val="none" w:sz="0" w:space="0" w:color="auto"/>
        <w:left w:val="none" w:sz="0" w:space="0" w:color="auto"/>
        <w:bottom w:val="none" w:sz="0" w:space="0" w:color="auto"/>
        <w:right w:val="none" w:sz="0" w:space="0" w:color="auto"/>
      </w:divBdr>
    </w:div>
    <w:div w:id="1897427291">
      <w:bodyDiv w:val="1"/>
      <w:marLeft w:val="0"/>
      <w:marRight w:val="0"/>
      <w:marTop w:val="0"/>
      <w:marBottom w:val="0"/>
      <w:divBdr>
        <w:top w:val="none" w:sz="0" w:space="0" w:color="auto"/>
        <w:left w:val="none" w:sz="0" w:space="0" w:color="auto"/>
        <w:bottom w:val="none" w:sz="0" w:space="0" w:color="auto"/>
        <w:right w:val="none" w:sz="0" w:space="0" w:color="auto"/>
      </w:divBdr>
    </w:div>
    <w:div w:id="1933930474">
      <w:bodyDiv w:val="1"/>
      <w:marLeft w:val="0"/>
      <w:marRight w:val="0"/>
      <w:marTop w:val="0"/>
      <w:marBottom w:val="0"/>
      <w:divBdr>
        <w:top w:val="none" w:sz="0" w:space="0" w:color="auto"/>
        <w:left w:val="none" w:sz="0" w:space="0" w:color="auto"/>
        <w:bottom w:val="none" w:sz="0" w:space="0" w:color="auto"/>
        <w:right w:val="none" w:sz="0" w:space="0" w:color="auto"/>
      </w:divBdr>
    </w:div>
    <w:div w:id="1941790104">
      <w:bodyDiv w:val="1"/>
      <w:marLeft w:val="0"/>
      <w:marRight w:val="0"/>
      <w:marTop w:val="0"/>
      <w:marBottom w:val="0"/>
      <w:divBdr>
        <w:top w:val="none" w:sz="0" w:space="0" w:color="auto"/>
        <w:left w:val="none" w:sz="0" w:space="0" w:color="auto"/>
        <w:bottom w:val="none" w:sz="0" w:space="0" w:color="auto"/>
        <w:right w:val="none" w:sz="0" w:space="0" w:color="auto"/>
      </w:divBdr>
    </w:div>
    <w:div w:id="1947154874">
      <w:bodyDiv w:val="1"/>
      <w:marLeft w:val="0"/>
      <w:marRight w:val="0"/>
      <w:marTop w:val="0"/>
      <w:marBottom w:val="0"/>
      <w:divBdr>
        <w:top w:val="none" w:sz="0" w:space="0" w:color="auto"/>
        <w:left w:val="none" w:sz="0" w:space="0" w:color="auto"/>
        <w:bottom w:val="none" w:sz="0" w:space="0" w:color="auto"/>
        <w:right w:val="none" w:sz="0" w:space="0" w:color="auto"/>
      </w:divBdr>
    </w:div>
    <w:div w:id="1978028480">
      <w:bodyDiv w:val="1"/>
      <w:marLeft w:val="0"/>
      <w:marRight w:val="0"/>
      <w:marTop w:val="0"/>
      <w:marBottom w:val="0"/>
      <w:divBdr>
        <w:top w:val="none" w:sz="0" w:space="0" w:color="auto"/>
        <w:left w:val="none" w:sz="0" w:space="0" w:color="auto"/>
        <w:bottom w:val="none" w:sz="0" w:space="0" w:color="auto"/>
        <w:right w:val="none" w:sz="0" w:space="0" w:color="auto"/>
      </w:divBdr>
    </w:div>
    <w:div w:id="1978296381">
      <w:bodyDiv w:val="1"/>
      <w:marLeft w:val="0"/>
      <w:marRight w:val="0"/>
      <w:marTop w:val="0"/>
      <w:marBottom w:val="0"/>
      <w:divBdr>
        <w:top w:val="none" w:sz="0" w:space="0" w:color="auto"/>
        <w:left w:val="none" w:sz="0" w:space="0" w:color="auto"/>
        <w:bottom w:val="none" w:sz="0" w:space="0" w:color="auto"/>
        <w:right w:val="none" w:sz="0" w:space="0" w:color="auto"/>
      </w:divBdr>
    </w:div>
    <w:div w:id="1984189622">
      <w:bodyDiv w:val="1"/>
      <w:marLeft w:val="0"/>
      <w:marRight w:val="0"/>
      <w:marTop w:val="0"/>
      <w:marBottom w:val="0"/>
      <w:divBdr>
        <w:top w:val="none" w:sz="0" w:space="0" w:color="auto"/>
        <w:left w:val="none" w:sz="0" w:space="0" w:color="auto"/>
        <w:bottom w:val="none" w:sz="0" w:space="0" w:color="auto"/>
        <w:right w:val="none" w:sz="0" w:space="0" w:color="auto"/>
      </w:divBdr>
    </w:div>
    <w:div w:id="1997831809">
      <w:bodyDiv w:val="1"/>
      <w:marLeft w:val="0"/>
      <w:marRight w:val="0"/>
      <w:marTop w:val="0"/>
      <w:marBottom w:val="0"/>
      <w:divBdr>
        <w:top w:val="none" w:sz="0" w:space="0" w:color="auto"/>
        <w:left w:val="none" w:sz="0" w:space="0" w:color="auto"/>
        <w:bottom w:val="none" w:sz="0" w:space="0" w:color="auto"/>
        <w:right w:val="none" w:sz="0" w:space="0" w:color="auto"/>
      </w:divBdr>
    </w:div>
    <w:div w:id="2091464834">
      <w:bodyDiv w:val="1"/>
      <w:marLeft w:val="0"/>
      <w:marRight w:val="0"/>
      <w:marTop w:val="0"/>
      <w:marBottom w:val="0"/>
      <w:divBdr>
        <w:top w:val="none" w:sz="0" w:space="0" w:color="auto"/>
        <w:left w:val="none" w:sz="0" w:space="0" w:color="auto"/>
        <w:bottom w:val="none" w:sz="0" w:space="0" w:color="auto"/>
        <w:right w:val="none" w:sz="0" w:space="0" w:color="auto"/>
      </w:divBdr>
    </w:div>
    <w:div w:id="2099476398">
      <w:bodyDiv w:val="1"/>
      <w:marLeft w:val="0"/>
      <w:marRight w:val="0"/>
      <w:marTop w:val="0"/>
      <w:marBottom w:val="0"/>
      <w:divBdr>
        <w:top w:val="none" w:sz="0" w:space="0" w:color="auto"/>
        <w:left w:val="none" w:sz="0" w:space="0" w:color="auto"/>
        <w:bottom w:val="none" w:sz="0" w:space="0" w:color="auto"/>
        <w:right w:val="none" w:sz="0" w:space="0" w:color="auto"/>
      </w:divBdr>
    </w:div>
    <w:div w:id="210615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chart" Target="charts/chart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oinformatics.com.cn/SRplot" TargetMode="External"/><Relationship Id="rId29" Type="http://schemas.openxmlformats.org/officeDocument/2006/relationships/image" Target="media/image14.emf"/><Relationship Id="rId11" Type="http://schemas.openxmlformats.org/officeDocument/2006/relationships/header" Target="header1.xml"/><Relationship Id="rId24" Type="http://schemas.microsoft.com/office/2014/relationships/chartEx" Target="charts/chartEx2.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chart" Target="charts/chart6.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lassyfire.wishartlab.com" TargetMode="External"/><Relationship Id="rId22" Type="http://schemas.microsoft.com/office/2014/relationships/chartEx" Target="charts/chartEx1.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chart" Target="charts/chart1.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5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png"/><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40.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riune\Desktop\MSC.%20THESIS\Thesis%20paper%20GA\All%20three%20sample%20trial.xls"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riune\Downloads\12_6_24.mpl.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triune\Downloads\17_6_24%20lipase.xls"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riune\Desktop\MSC.%20THESIS\STC1%20MTT'S\STC1%20NK&amp;VA%202HR%20compiled.xls"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riune\Desktop\MSC.%20THESIS\Caco2%20MTT'S\caco2%201mM%20PA%20NK%20compiled.xls"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triune\Desktop\MSC.%20THESIS\Caco2%20MTT'S\Caco2%202mM%20PA%20VA%20Compiled.xls"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triune\Downloads\DPP4%20VA%20NK%20CACO2.xlsx" TargetMode="External"/><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triune\Desktop\MSC.%20THESIS\classyfire%20(Autosave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triune\Desktop\MSC.%20THESIS\classyfire%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Gallic</a:t>
            </a:r>
            <a:r>
              <a:rPr lang="en-US" sz="1200" b="1" baseline="0">
                <a:solidFill>
                  <a:schemeClr val="tx1"/>
                </a:solidFill>
                <a:latin typeface="Times New Roman" panose="02020603050405020304" pitchFamily="18" charset="0"/>
                <a:cs typeface="Times New Roman" panose="02020603050405020304" pitchFamily="18" charset="0"/>
              </a:rPr>
              <a:t> acid Estimation</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937270341207352"/>
          <c:y val="0.17171296296296298"/>
          <c:w val="0.74118285214348212"/>
          <c:h val="0.62067913385826767"/>
        </c:manualLayout>
      </c:layout>
      <c:barChart>
        <c:barDir val="col"/>
        <c:grouping val="clustered"/>
        <c:varyColors val="0"/>
        <c:ser>
          <c:idx val="0"/>
          <c:order val="0"/>
          <c:tx>
            <c:strRef>
              <c:f>Sheet3!$M$11</c:f>
              <c:strCache>
                <c:ptCount val="1"/>
                <c:pt idx="0">
                  <c:v>Average ug/ml Concentration</c:v>
                </c:pt>
              </c:strCache>
            </c:strRef>
          </c:tx>
          <c:spPr>
            <a:solidFill>
              <a:schemeClr val="dk1">
                <a:tint val="88500"/>
              </a:schemeClr>
            </a:solidFill>
            <a:ln>
              <a:noFill/>
            </a:ln>
            <a:effectLst/>
          </c:spPr>
          <c:invertIfNegative val="0"/>
          <c:errBars>
            <c:errBarType val="both"/>
            <c:errValType val="cust"/>
            <c:noEndCap val="0"/>
            <c:plus>
              <c:numRef>
                <c:f>Sheet3!$N$12:$N$13</c:f>
                <c:numCache>
                  <c:formatCode>General</c:formatCode>
                  <c:ptCount val="2"/>
                  <c:pt idx="0">
                    <c:v>14.022111668233938</c:v>
                  </c:pt>
                  <c:pt idx="1">
                    <c:v>20.413151782031807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Sheet3!$L$12:$L$13</c:f>
              <c:strCache>
                <c:ptCount val="2"/>
                <c:pt idx="0">
                  <c:v>NK</c:v>
                </c:pt>
                <c:pt idx="1">
                  <c:v>VA</c:v>
                </c:pt>
              </c:strCache>
            </c:strRef>
          </c:cat>
          <c:val>
            <c:numRef>
              <c:f>Sheet3!$M$12:$M$13</c:f>
              <c:numCache>
                <c:formatCode>General</c:formatCode>
                <c:ptCount val="2"/>
                <c:pt idx="0">
                  <c:v>243.63295977522543</c:v>
                </c:pt>
                <c:pt idx="1">
                  <c:v>275.83429105177532</c:v>
                </c:pt>
              </c:numCache>
            </c:numRef>
          </c:val>
          <c:extLst>
            <c:ext xmlns:c16="http://schemas.microsoft.com/office/drawing/2014/chart" uri="{C3380CC4-5D6E-409C-BE32-E72D297353CC}">
              <c16:uniqueId val="{00000000-F5E4-4C09-BD81-223C76B1033D}"/>
            </c:ext>
          </c:extLst>
        </c:ser>
        <c:dLbls>
          <c:showLegendKey val="0"/>
          <c:showVal val="0"/>
          <c:showCatName val="0"/>
          <c:showSerName val="0"/>
          <c:showPercent val="0"/>
          <c:showBubbleSize val="0"/>
        </c:dLbls>
        <c:gapWidth val="219"/>
        <c:overlap val="-27"/>
        <c:axId val="1007442527"/>
        <c:axId val="1165863263"/>
      </c:barChart>
      <c:catAx>
        <c:axId val="1007442527"/>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Nishakathakadi &amp; Varanadi</a:t>
                </a:r>
                <a:r>
                  <a:rPr lang="en-IN" sz="1200" b="1" baseline="0">
                    <a:solidFill>
                      <a:schemeClr val="tx1"/>
                    </a:solidFill>
                    <a:latin typeface="Times New Roman" panose="02020603050405020304" pitchFamily="18" charset="0"/>
                    <a:cs typeface="Times New Roman" panose="02020603050405020304" pitchFamily="18" charset="0"/>
                  </a:rPr>
                  <a:t>  </a:t>
                </a:r>
                <a:endParaRPr lang="en-IN"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6045262554101265"/>
              <c:y val="0.905072785379520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5863263"/>
        <c:crosses val="autoZero"/>
        <c:auto val="1"/>
        <c:lblAlgn val="ctr"/>
        <c:lblOffset val="100"/>
        <c:noMultiLvlLbl val="0"/>
      </c:catAx>
      <c:valAx>
        <c:axId val="11658632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Concentration</a:t>
                </a:r>
                <a:r>
                  <a:rPr lang="en-IN" sz="1100" b="1" baseline="0">
                    <a:solidFill>
                      <a:schemeClr val="tx1"/>
                    </a:solidFill>
                    <a:latin typeface="Times New Roman" panose="02020603050405020304" pitchFamily="18" charset="0"/>
                    <a:cs typeface="Times New Roman" panose="02020603050405020304" pitchFamily="18" charset="0"/>
                  </a:rPr>
                  <a:t> µg/ml</a:t>
                </a:r>
                <a:endParaRPr lang="en-IN"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5.2777777777777778E-2"/>
              <c:y val="0.246647346165062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07442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1" u="none" strike="noStrike" kern="1200" baseline="0">
                <a:solidFill>
                  <a:srgbClr val="000000">
                    <a:alpha val="100000"/>
                  </a:srgbClr>
                </a:solidFill>
                <a:latin typeface="Times New Roman" panose="02020603050405020304" charset="0"/>
                <a:ea typeface="Times New Roman" panose="02020603050405020304" charset="0"/>
                <a:cs typeface="Times New Roman" panose="02020603050405020304" charset="0"/>
              </a:defRPr>
            </a:pPr>
            <a:r>
              <a:rPr lang="en-IN"/>
              <a:t>Nishakathakadi</a:t>
            </a:r>
            <a:endParaRPr lang="en-IN" sz="1200" b="1" i="1" u="none" strike="noStrike" baseline="0">
              <a:solidFill>
                <a:srgbClr val="000000">
                  <a:alpha val="100000"/>
                </a:srgbClr>
              </a:solidFill>
              <a:latin typeface="Times New Roman" panose="02020603050405020304" charset="0"/>
              <a:ea typeface="Times New Roman" panose="02020603050405020304" charset="0"/>
              <a:cs typeface="Times New Roman" panose="02020603050405020304" charset="0"/>
            </a:endParaRPr>
          </a:p>
        </c:rich>
      </c:tx>
      <c:layout>
        <c:manualLayout>
          <c:xMode val="edge"/>
          <c:yMode val="edge"/>
          <c:x val="0.363006806959498"/>
          <c:y val="3.2407474295070897E-2"/>
        </c:manualLayout>
      </c:layout>
      <c:overlay val="0"/>
    </c:title>
    <c:autoTitleDeleted val="0"/>
    <c:plotArea>
      <c:layout>
        <c:manualLayout>
          <c:layoutTarget val="inner"/>
          <c:xMode val="edge"/>
          <c:yMode val="edge"/>
          <c:x val="0.19368544600939"/>
          <c:y val="0.131670639793879"/>
          <c:w val="0.78049295774647898"/>
          <c:h val="0.63973608803486703"/>
        </c:manualLayout>
      </c:layout>
      <c:barChart>
        <c:barDir val="col"/>
        <c:grouping val="clustered"/>
        <c:varyColors val="0"/>
        <c:ser>
          <c:idx val="0"/>
          <c:order val="0"/>
          <c:spPr>
            <a:solidFill>
              <a:schemeClr val="tx1">
                <a:lumMod val="65000"/>
                <a:lumOff val="35000"/>
              </a:schemeClr>
            </a:solidFill>
            <a:ln>
              <a:noFill/>
            </a:ln>
            <a:effectLst/>
          </c:spPr>
          <c:invertIfNegative val="0"/>
          <c:errBars>
            <c:errBarType val="both"/>
            <c:errValType val="cust"/>
            <c:noEndCap val="0"/>
            <c:plus>
              <c:numRef>
                <c:f>'[12_6_24.mpl.xls]Raw Data{time(s)-903;Wavelength'!$Z$11:$Z$16</c:f>
                <c:numCache>
                  <c:formatCode>General</c:formatCode>
                  <c:ptCount val="6"/>
                  <c:pt idx="0">
                    <c:v>3.4166619879500701</c:v>
                  </c:pt>
                  <c:pt idx="1">
                    <c:v>11.471392260569401</c:v>
                  </c:pt>
                  <c:pt idx="2">
                    <c:v>10.842490668685</c:v>
                  </c:pt>
                  <c:pt idx="3">
                    <c:v>14.7206426977997</c:v>
                  </c:pt>
                  <c:pt idx="4">
                    <c:v>18.641444373933201</c:v>
                  </c:pt>
                  <c:pt idx="5">
                    <c:v>0</c:v>
                  </c:pt>
                </c:numCache>
              </c:numRef>
            </c:plus>
            <c:minus>
              <c:numLit>
                <c:formatCode>General</c:formatCode>
                <c:ptCount val="1"/>
                <c:pt idx="0">
                  <c:v>1</c:v>
                </c:pt>
              </c:numLit>
            </c:minus>
            <c:spPr>
              <a:noFill/>
              <a:ln w="9525" cap="flat" cmpd="sng" algn="ctr">
                <a:solidFill>
                  <a:schemeClr val="tx1">
                    <a:lumMod val="65000"/>
                    <a:lumOff val="35000"/>
                  </a:schemeClr>
                </a:solidFill>
                <a:prstDash val="solid"/>
                <a:round/>
              </a:ln>
              <a:effectLst/>
            </c:spPr>
          </c:errBars>
          <c:cat>
            <c:numRef>
              <c:f>'[12_6_24.mpl.xls]Raw Data{time(s)-903;Wavelength'!$U$20:$U$25</c:f>
              <c:numCache>
                <c:formatCode>General</c:formatCode>
                <c:ptCount val="6"/>
                <c:pt idx="0">
                  <c:v>160</c:v>
                </c:pt>
                <c:pt idx="1">
                  <c:v>80</c:v>
                </c:pt>
                <c:pt idx="2">
                  <c:v>40</c:v>
                </c:pt>
                <c:pt idx="3">
                  <c:v>20</c:v>
                </c:pt>
                <c:pt idx="4">
                  <c:v>10</c:v>
                </c:pt>
              </c:numCache>
            </c:numRef>
          </c:cat>
          <c:val>
            <c:numRef>
              <c:f>'[12_6_24.mpl.xls]Raw Data{time(s)-903;Wavelength'!$V$20:$V$25</c:f>
              <c:numCache>
                <c:formatCode>General</c:formatCode>
                <c:ptCount val="6"/>
                <c:pt idx="0">
                  <c:v>92.998604418894104</c:v>
                </c:pt>
                <c:pt idx="1">
                  <c:v>54.855822665835099</c:v>
                </c:pt>
                <c:pt idx="2">
                  <c:v>38.7326898427632</c:v>
                </c:pt>
                <c:pt idx="3">
                  <c:v>25.902887785206499</c:v>
                </c:pt>
                <c:pt idx="4">
                  <c:v>14.4565824942924</c:v>
                </c:pt>
              </c:numCache>
            </c:numRef>
          </c:val>
          <c:extLst>
            <c:ext xmlns:c16="http://schemas.microsoft.com/office/drawing/2014/chart" uri="{C3380CC4-5D6E-409C-BE32-E72D297353CC}">
              <c16:uniqueId val="{00000000-9764-4A9C-89FB-A3394BE569C4}"/>
            </c:ext>
          </c:extLst>
        </c:ser>
        <c:dLbls>
          <c:showLegendKey val="0"/>
          <c:showVal val="0"/>
          <c:showCatName val="0"/>
          <c:showSerName val="0"/>
          <c:showPercent val="0"/>
          <c:showBubbleSize val="0"/>
        </c:dLbls>
        <c:gapWidth val="219"/>
        <c:overlap val="-27"/>
        <c:axId val="89745284"/>
        <c:axId val="995153064"/>
      </c:barChart>
      <c:catAx>
        <c:axId val="89745284"/>
        <c:scaling>
          <c:orientation val="minMax"/>
        </c:scaling>
        <c:delete val="0"/>
        <c:axPos val="b"/>
        <c:title>
          <c:tx>
            <c:rich>
              <a:bodyPr rot="0" spcFirstLastPara="0" vertOverflow="ellipsis" vert="horz" wrap="square" anchor="ctr" anchorCtr="1"/>
              <a:lstStyle/>
              <a:p>
                <a:pPr defTabSz="914400">
                  <a:defRPr lang="en-US" sz="1200" b="0" i="0" u="none" strike="noStrike" kern="1200" baseline="0">
                    <a:solidFill>
                      <a:srgbClr val="000000">
                        <a:alpha val="100000"/>
                      </a:srgbClr>
                    </a:solidFill>
                    <a:latin typeface="Times New Roman" panose="02020603050405020304" charset="0"/>
                    <a:ea typeface="Times New Roman" panose="02020603050405020304" charset="0"/>
                    <a:cs typeface="Times New Roman" panose="02020603050405020304" charset="0"/>
                  </a:defRPr>
                </a:pPr>
                <a:r>
                  <a:rPr lang="en-IN"/>
                  <a:t>Concentration µg/GAE</a:t>
                </a:r>
                <a:endParaRPr lang="en-IN" sz="1200" b="0" i="0" u="none" strike="noStrike" baseline="0">
                  <a:solidFill>
                    <a:srgbClr val="000000">
                      <a:alpha val="100000"/>
                    </a:srgbClr>
                  </a:solidFill>
                  <a:latin typeface="Times New Roman" panose="02020603050405020304" charset="0"/>
                  <a:ea typeface="Times New Roman" panose="02020603050405020304" charset="0"/>
                  <a:cs typeface="Times New Roman" panose="02020603050405020304" charset="0"/>
                </a:endParaRPr>
              </a:p>
            </c:rich>
          </c:tx>
          <c:layout>
            <c:manualLayout>
              <c:xMode val="edge"/>
              <c:yMode val="edge"/>
              <c:x val="0.29453619579603829"/>
              <c:y val="0.89779164492046559"/>
            </c:manualLayout>
          </c:layout>
          <c:overlay val="0"/>
        </c:title>
        <c:numFmt formatCode="General" sourceLinked="0"/>
        <c:majorTickMark val="none"/>
        <c:minorTickMark val="none"/>
        <c:tickLblPos val="nextTo"/>
        <c:spPr>
          <a:noFill/>
          <a:ln w="19050" cap="flat" cmpd="sng" algn="ctr">
            <a:solidFill>
              <a:schemeClr val="dk1"/>
            </a:solidFill>
            <a:prstDash val="solid"/>
            <a:miter lim="800000"/>
          </a:ln>
          <a:effectLst/>
        </c:spPr>
        <c:txPr>
          <a:bodyPr rot="0" spcFirstLastPara="0" vertOverflow="ellipsis" vert="horz" wrap="square" anchor="ctr" anchorCtr="1"/>
          <a:lstStyle/>
          <a:p>
            <a:pPr>
              <a:defRPr lang="en-US" sz="1200" b="0" i="0" u="none" strike="noStrike" kern="1200" baseline="0">
                <a:solidFill>
                  <a:srgbClr val="000000">
                    <a:alpha val="100000"/>
                  </a:srgbClr>
                </a:solidFill>
                <a:latin typeface="Times New Roman" panose="02020603050405020304" charset="0"/>
                <a:ea typeface="Times New Roman" panose="02020603050405020304" charset="0"/>
                <a:cs typeface="Times New Roman" panose="02020603050405020304" charset="0"/>
              </a:defRPr>
            </a:pPr>
            <a:endParaRPr lang="en-US"/>
          </a:p>
        </c:txPr>
        <c:crossAx val="995153064"/>
        <c:crosses val="autoZero"/>
        <c:auto val="1"/>
        <c:lblAlgn val="ctr"/>
        <c:lblOffset val="100"/>
        <c:noMultiLvlLbl val="0"/>
      </c:catAx>
      <c:valAx>
        <c:axId val="995153064"/>
        <c:scaling>
          <c:orientation val="minMax"/>
        </c:scaling>
        <c:delete val="0"/>
        <c:axPos val="l"/>
        <c:title>
          <c:tx>
            <c:rich>
              <a:bodyPr rot="-5400000" spcFirstLastPara="0" vertOverflow="ellipsis" vert="horz" wrap="square" anchor="ctr" anchorCtr="1"/>
              <a:lstStyle/>
              <a:p>
                <a:pPr defTabSz="914400">
                  <a:defRPr lang="en-US" sz="1200" b="0" i="0" u="none" strike="noStrike" kern="1200" baseline="0">
                    <a:solidFill>
                      <a:srgbClr val="000000">
                        <a:alpha val="100000"/>
                      </a:srgbClr>
                    </a:solidFill>
                    <a:latin typeface="Times New Roman" panose="02020603050405020304" charset="0"/>
                    <a:ea typeface="Times New Roman" panose="02020603050405020304" charset="0"/>
                    <a:cs typeface="Times New Roman" panose="02020603050405020304" charset="0"/>
                  </a:defRPr>
                </a:pPr>
                <a:r>
                  <a:rPr lang="en-IN"/>
                  <a:t>% of Lipase inhibition</a:t>
                </a:r>
                <a:endParaRPr lang="en-IN" sz="1200" b="0" i="0" u="none" strike="noStrike" baseline="0">
                  <a:solidFill>
                    <a:srgbClr val="000000">
                      <a:alpha val="100000"/>
                    </a:srgbClr>
                  </a:solidFill>
                  <a:latin typeface="Times New Roman" panose="02020603050405020304" charset="0"/>
                  <a:ea typeface="Times New Roman" panose="02020603050405020304" charset="0"/>
                  <a:cs typeface="Times New Roman" panose="02020603050405020304" charset="0"/>
                </a:endParaRPr>
              </a:p>
            </c:rich>
          </c:tx>
          <c:layout>
            <c:manualLayout>
              <c:xMode val="edge"/>
              <c:yMode val="edge"/>
              <c:x val="4.4600981834978702E-2"/>
              <c:y val="0.26107599508777002"/>
            </c:manualLayout>
          </c:layout>
          <c:overlay val="0"/>
        </c:title>
        <c:numFmt formatCode="General"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en-US" sz="1200" b="0" i="0" u="none" strike="noStrike" kern="1200" baseline="0">
                <a:solidFill>
                  <a:srgbClr val="000000">
                    <a:alpha val="100000"/>
                  </a:srgbClr>
                </a:solidFill>
                <a:latin typeface="Times New Roman" panose="02020603050405020304" charset="0"/>
                <a:ea typeface="Times New Roman" panose="02020603050405020304" charset="0"/>
                <a:cs typeface="Times New Roman" panose="02020603050405020304" charset="0"/>
              </a:defRPr>
            </a:pPr>
            <a:endParaRPr lang="en-US"/>
          </a:p>
        </c:txPr>
        <c:crossAx val="897452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wrap="square" anchor="ctr" anchorCtr="1"/>
    <a:lstStyle/>
    <a:p>
      <a:pPr>
        <a:defRPr lang="en-US" sz="1000" b="0" i="0" u="none" strike="noStrike" baseline="0">
          <a:solidFill>
            <a:srgbClr val="000000">
              <a:alpha val="100000"/>
            </a:srgbClr>
          </a:solidFill>
          <a:latin typeface="Calibri" panose="020F0502020204030204" charset="0"/>
          <a:ea typeface="Calibri" panose="020F0502020204030204" charset="0"/>
          <a:cs typeface="Calibri" panose="020F050202020403020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1">
                <a:solidFill>
                  <a:schemeClr val="tx1"/>
                </a:solidFill>
                <a:latin typeface="Times New Roman" panose="02020603050405020304" pitchFamily="18" charset="0"/>
                <a:cs typeface="Times New Roman" panose="02020603050405020304" pitchFamily="18" charset="0"/>
              </a:rPr>
              <a:t>Varanadi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975"/>
          <c:y val="0.17469925634295713"/>
          <c:w val="0.80969444444444449"/>
          <c:h val="0.53030074365704283"/>
        </c:manualLayout>
      </c:layout>
      <c:barChart>
        <c:barDir val="col"/>
        <c:grouping val="clustered"/>
        <c:varyColors val="0"/>
        <c:ser>
          <c:idx val="0"/>
          <c:order val="0"/>
          <c:spPr>
            <a:solidFill>
              <a:schemeClr val="tx1">
                <a:lumMod val="65000"/>
                <a:lumOff val="35000"/>
              </a:schemeClr>
            </a:solidFill>
            <a:ln>
              <a:noFill/>
            </a:ln>
            <a:effectLst/>
          </c:spPr>
          <c:invertIfNegative val="0"/>
          <c:errBars>
            <c:errBarType val="both"/>
            <c:errValType val="cust"/>
            <c:noEndCap val="0"/>
            <c:plus>
              <c:numRef>
                <c:f>'[17_6_24 lipase.xls]Raw Data{time(s)-3303;Wavelengt'!$O$14:$O$18</c:f>
                <c:numCache>
                  <c:formatCode>General</c:formatCode>
                  <c:ptCount val="5"/>
                  <c:pt idx="0">
                    <c:v>2.0354125548665101</c:v>
                  </c:pt>
                  <c:pt idx="1">
                    <c:v>7.95784434600602</c:v>
                  </c:pt>
                  <c:pt idx="2">
                    <c:v>3.8033046729509699</c:v>
                  </c:pt>
                  <c:pt idx="3">
                    <c:v>4.8400558171234902</c:v>
                  </c:pt>
                  <c:pt idx="4">
                    <c:v>5.4526047709924796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'[17_6_24 lipase.xls]Raw Data{time(s)-3303;Wavelengt'!$M$14:$M$18</c:f>
              <c:numCache>
                <c:formatCode>General</c:formatCode>
                <c:ptCount val="5"/>
                <c:pt idx="0">
                  <c:v>160</c:v>
                </c:pt>
                <c:pt idx="1">
                  <c:v>80</c:v>
                </c:pt>
                <c:pt idx="2">
                  <c:v>40</c:v>
                </c:pt>
                <c:pt idx="3">
                  <c:v>20</c:v>
                </c:pt>
                <c:pt idx="4">
                  <c:v>10</c:v>
                </c:pt>
              </c:numCache>
            </c:numRef>
          </c:cat>
          <c:val>
            <c:numRef>
              <c:f>'[17_6_24 lipase.xls]Raw Data{time(s)-3303;Wavelengt'!$N$14:$N$18</c:f>
              <c:numCache>
                <c:formatCode>General</c:formatCode>
                <c:ptCount val="5"/>
                <c:pt idx="0">
                  <c:v>98.705179873570401</c:v>
                </c:pt>
                <c:pt idx="1">
                  <c:v>77.992610567814907</c:v>
                </c:pt>
                <c:pt idx="2">
                  <c:v>58.7646523414721</c:v>
                </c:pt>
                <c:pt idx="3">
                  <c:v>40.030732071840703</c:v>
                </c:pt>
                <c:pt idx="4">
                  <c:v>26.707182605508901</c:v>
                </c:pt>
              </c:numCache>
            </c:numRef>
          </c:val>
          <c:extLst>
            <c:ext xmlns:c16="http://schemas.microsoft.com/office/drawing/2014/chart" uri="{C3380CC4-5D6E-409C-BE32-E72D297353CC}">
              <c16:uniqueId val="{00000000-C69B-40BF-9FEA-8ED9848EBF7D}"/>
            </c:ext>
          </c:extLst>
        </c:ser>
        <c:dLbls>
          <c:showLegendKey val="0"/>
          <c:showVal val="0"/>
          <c:showCatName val="0"/>
          <c:showSerName val="0"/>
          <c:showPercent val="0"/>
          <c:showBubbleSize val="0"/>
        </c:dLbls>
        <c:gapWidth val="219"/>
        <c:overlap val="-27"/>
        <c:axId val="235329840"/>
        <c:axId val="235326512"/>
      </c:barChart>
      <c:catAx>
        <c:axId val="23532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Concentration</a:t>
                </a:r>
                <a:r>
                  <a:rPr lang="en-IN" sz="1200" baseline="0">
                    <a:solidFill>
                      <a:schemeClr val="tx1"/>
                    </a:solidFill>
                    <a:latin typeface="Times New Roman" panose="02020603050405020304" pitchFamily="18" charset="0"/>
                    <a:cs typeface="Times New Roman" panose="02020603050405020304" pitchFamily="18" charset="0"/>
                  </a:rPr>
                  <a:t> µg/GAE</a:t>
                </a:r>
                <a:endParaRPr lang="en-IN"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7043760506060336"/>
              <c:y val="0.8398076315399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5326512"/>
        <c:crosses val="autoZero"/>
        <c:auto val="1"/>
        <c:lblAlgn val="ctr"/>
        <c:lblOffset val="100"/>
        <c:noMultiLvlLbl val="0"/>
      </c:catAx>
      <c:valAx>
        <c:axId val="235326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a:t>
                </a:r>
                <a:r>
                  <a:rPr lang="en-IN" sz="1200" baseline="0">
                    <a:solidFill>
                      <a:schemeClr val="tx1"/>
                    </a:solidFill>
                    <a:latin typeface="Times New Roman" panose="02020603050405020304" pitchFamily="18" charset="0"/>
                    <a:cs typeface="Times New Roman" panose="02020603050405020304" pitchFamily="18" charset="0"/>
                  </a:rPr>
                  <a:t> of Lipase inhibition</a:t>
                </a:r>
                <a:endParaRPr lang="en-IN"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2788382140434698E-2"/>
              <c:y val="0.190771086046676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532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9347623485555"/>
          <c:y val="0.15946777486147565"/>
          <c:w val="0.84037744641192913"/>
          <c:h val="0.47651042052345338"/>
        </c:manualLayout>
      </c:layout>
      <c:barChart>
        <c:barDir val="col"/>
        <c:grouping val="clustered"/>
        <c:varyColors val="0"/>
        <c:ser>
          <c:idx val="0"/>
          <c:order val="0"/>
          <c:tx>
            <c:strRef>
              <c:f>'STD DEV OF 3 TRIALS'!$S$12</c:f>
              <c:strCache>
                <c:ptCount val="1"/>
                <c:pt idx="0">
                  <c:v>NK</c:v>
                </c:pt>
              </c:strCache>
            </c:strRef>
          </c:tx>
          <c:spPr>
            <a:solidFill>
              <a:schemeClr val="tx1">
                <a:lumMod val="95000"/>
                <a:lumOff val="5000"/>
              </a:schemeClr>
            </a:solidFill>
            <a:ln>
              <a:noFill/>
            </a:ln>
            <a:effectLst/>
          </c:spPr>
          <c:invertIfNegative val="0"/>
          <c:errBars>
            <c:errBarType val="both"/>
            <c:errValType val="cust"/>
            <c:noEndCap val="0"/>
            <c:plus>
              <c:numRef>
                <c:f>'STD DEV OF 3 TRIALS'!$H$17:$H$24</c:f>
                <c:numCache>
                  <c:formatCode>General</c:formatCode>
                  <c:ptCount val="8"/>
                  <c:pt idx="0">
                    <c:v>5.9818614114016073</c:v>
                  </c:pt>
                  <c:pt idx="1">
                    <c:v>30.169092996205581</c:v>
                  </c:pt>
                  <c:pt idx="2">
                    <c:v>31.959033529071053</c:v>
                  </c:pt>
                  <c:pt idx="3">
                    <c:v>19.090426154327659</c:v>
                  </c:pt>
                  <c:pt idx="4">
                    <c:v>10.620774635275781</c:v>
                  </c:pt>
                  <c:pt idx="5">
                    <c:v>15.772862028168918</c:v>
                  </c:pt>
                  <c:pt idx="6">
                    <c:v>5.7202969594199571</c:v>
                  </c:pt>
                  <c:pt idx="7">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'STD DEV OF 3 TRIALS'!$R$13:$R$20</c:f>
              <c:strCache>
                <c:ptCount val="8"/>
                <c:pt idx="0">
                  <c:v>8</c:v>
                </c:pt>
                <c:pt idx="1">
                  <c:v>4</c:v>
                </c:pt>
                <c:pt idx="2">
                  <c:v>2</c:v>
                </c:pt>
                <c:pt idx="3">
                  <c:v>1</c:v>
                </c:pt>
                <c:pt idx="4">
                  <c:v>0.5</c:v>
                </c:pt>
                <c:pt idx="5">
                  <c:v>0.25</c:v>
                </c:pt>
                <c:pt idx="6">
                  <c:v>0.125</c:v>
                </c:pt>
                <c:pt idx="7">
                  <c:v>control</c:v>
                </c:pt>
              </c:strCache>
            </c:strRef>
          </c:cat>
          <c:val>
            <c:numRef>
              <c:f>'STD DEV OF 3 TRIALS'!$S$13:$S$20</c:f>
              <c:numCache>
                <c:formatCode>General</c:formatCode>
                <c:ptCount val="8"/>
                <c:pt idx="0">
                  <c:v>14.774075687960016</c:v>
                </c:pt>
                <c:pt idx="1">
                  <c:v>34.403932519823513</c:v>
                </c:pt>
                <c:pt idx="2">
                  <c:v>76.178768863441263</c:v>
                </c:pt>
                <c:pt idx="3">
                  <c:v>106.20620323072865</c:v>
                </c:pt>
                <c:pt idx="4">
                  <c:v>102.57743755029632</c:v>
                </c:pt>
                <c:pt idx="5">
                  <c:v>107.52150333644909</c:v>
                </c:pt>
                <c:pt idx="6">
                  <c:v>94.398729370902174</c:v>
                </c:pt>
                <c:pt idx="7">
                  <c:v>100</c:v>
                </c:pt>
              </c:numCache>
            </c:numRef>
          </c:val>
          <c:extLst>
            <c:ext xmlns:c16="http://schemas.microsoft.com/office/drawing/2014/chart" uri="{C3380CC4-5D6E-409C-BE32-E72D297353CC}">
              <c16:uniqueId val="{00000000-2417-4E84-A29E-9A2C2038B5F6}"/>
            </c:ext>
          </c:extLst>
        </c:ser>
        <c:ser>
          <c:idx val="1"/>
          <c:order val="1"/>
          <c:tx>
            <c:strRef>
              <c:f>'STD DEV OF 3 TRIALS'!$T$12</c:f>
              <c:strCache>
                <c:ptCount val="1"/>
                <c:pt idx="0">
                  <c:v>VA</c:v>
                </c:pt>
              </c:strCache>
            </c:strRef>
          </c:tx>
          <c:spPr>
            <a:solidFill>
              <a:schemeClr val="tx1">
                <a:lumMod val="50000"/>
                <a:lumOff val="50000"/>
              </a:schemeClr>
            </a:solidFill>
            <a:ln>
              <a:noFill/>
            </a:ln>
            <a:effectLst/>
          </c:spPr>
          <c:invertIfNegative val="0"/>
          <c:errBars>
            <c:errBarType val="both"/>
            <c:errValType val="cust"/>
            <c:noEndCap val="0"/>
            <c:plus>
              <c:numRef>
                <c:f>'STD DEV OF 3 TRIALS'!$H$4:$H$11</c:f>
                <c:numCache>
                  <c:formatCode>General</c:formatCode>
                  <c:ptCount val="8"/>
                  <c:pt idx="0">
                    <c:v>7.2265329003877454</c:v>
                  </c:pt>
                  <c:pt idx="1">
                    <c:v>4.4199357380611506</c:v>
                  </c:pt>
                  <c:pt idx="2">
                    <c:v>30.960556965257013</c:v>
                  </c:pt>
                  <c:pt idx="3">
                    <c:v>24.784099317072986</c:v>
                  </c:pt>
                  <c:pt idx="4">
                    <c:v>19.153931108087068</c:v>
                  </c:pt>
                  <c:pt idx="5">
                    <c:v>15.484073519431981</c:v>
                  </c:pt>
                  <c:pt idx="6">
                    <c:v>7.5182133319182327</c:v>
                  </c:pt>
                  <c:pt idx="7">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'STD DEV OF 3 TRIALS'!$R$13:$R$20</c:f>
              <c:strCache>
                <c:ptCount val="8"/>
                <c:pt idx="0">
                  <c:v>8</c:v>
                </c:pt>
                <c:pt idx="1">
                  <c:v>4</c:v>
                </c:pt>
                <c:pt idx="2">
                  <c:v>2</c:v>
                </c:pt>
                <c:pt idx="3">
                  <c:v>1</c:v>
                </c:pt>
                <c:pt idx="4">
                  <c:v>0.5</c:v>
                </c:pt>
                <c:pt idx="5">
                  <c:v>0.25</c:v>
                </c:pt>
                <c:pt idx="6">
                  <c:v>0.125</c:v>
                </c:pt>
                <c:pt idx="7">
                  <c:v>control</c:v>
                </c:pt>
              </c:strCache>
            </c:strRef>
          </c:cat>
          <c:val>
            <c:numRef>
              <c:f>'STD DEV OF 3 TRIALS'!$T$13:$T$20</c:f>
              <c:numCache>
                <c:formatCode>General</c:formatCode>
                <c:ptCount val="8"/>
                <c:pt idx="0">
                  <c:v>14.037129839267401</c:v>
                </c:pt>
                <c:pt idx="1">
                  <c:v>11.938398910315028</c:v>
                </c:pt>
                <c:pt idx="2">
                  <c:v>38.87929369574811</c:v>
                </c:pt>
                <c:pt idx="3">
                  <c:v>98.550701681314834</c:v>
                </c:pt>
                <c:pt idx="4">
                  <c:v>112.62520017816847</c:v>
                </c:pt>
                <c:pt idx="5">
                  <c:v>113.92295394113735</c:v>
                </c:pt>
                <c:pt idx="6">
                  <c:v>107.89411892847939</c:v>
                </c:pt>
                <c:pt idx="7">
                  <c:v>100</c:v>
                </c:pt>
              </c:numCache>
            </c:numRef>
          </c:val>
          <c:extLst>
            <c:ext xmlns:c16="http://schemas.microsoft.com/office/drawing/2014/chart" uri="{C3380CC4-5D6E-409C-BE32-E72D297353CC}">
              <c16:uniqueId val="{00000001-2417-4E84-A29E-9A2C2038B5F6}"/>
            </c:ext>
          </c:extLst>
        </c:ser>
        <c:dLbls>
          <c:showLegendKey val="0"/>
          <c:showVal val="0"/>
          <c:showCatName val="0"/>
          <c:showSerName val="0"/>
          <c:showPercent val="0"/>
          <c:showBubbleSize val="0"/>
        </c:dLbls>
        <c:gapWidth val="219"/>
        <c:overlap val="-27"/>
        <c:axId val="1761880816"/>
        <c:axId val="1761881232"/>
      </c:barChart>
      <c:catAx>
        <c:axId val="17618808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Concentrations</a:t>
                </a:r>
                <a:r>
                  <a:rPr lang="en-IN" sz="1200" baseline="0">
                    <a:solidFill>
                      <a:schemeClr val="tx1"/>
                    </a:solidFill>
                    <a:latin typeface="Times New Roman" panose="02020603050405020304" pitchFamily="18" charset="0"/>
                    <a:cs typeface="Times New Roman" panose="02020603050405020304" pitchFamily="18" charset="0"/>
                  </a:rPr>
                  <a:t> µg/GAE</a:t>
                </a:r>
              </a:p>
            </c:rich>
          </c:tx>
          <c:layout>
            <c:manualLayout>
              <c:xMode val="edge"/>
              <c:yMode val="edge"/>
              <c:x val="0.42304287045666356"/>
              <c:y val="0.777754630201005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61881232"/>
        <c:crosses val="autoZero"/>
        <c:auto val="1"/>
        <c:lblAlgn val="ctr"/>
        <c:lblOffset val="100"/>
        <c:noMultiLvlLbl val="0"/>
      </c:catAx>
      <c:valAx>
        <c:axId val="176188123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%Viability</a:t>
                </a:r>
              </a:p>
            </c:rich>
          </c:tx>
          <c:layout>
            <c:manualLayout>
              <c:xMode val="edge"/>
              <c:yMode val="edge"/>
              <c:x val="1.1649580615097856E-2"/>
              <c:y val="0.284995598120767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61880816"/>
        <c:crosses val="autoZero"/>
        <c:crossBetween val="between"/>
      </c:valAx>
      <c:spPr>
        <a:noFill/>
        <a:ln>
          <a:noFill/>
        </a:ln>
        <a:effectLst/>
      </c:spPr>
    </c:plotArea>
    <c:legend>
      <c:legendPos val="r"/>
      <c:layout>
        <c:manualLayout>
          <c:xMode val="edge"/>
          <c:yMode val="edge"/>
          <c:x val="0.77546231406535504"/>
          <c:y val="0.78892306173327098"/>
          <c:w val="0.20356844082746881"/>
          <c:h val="0.141066818058401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90027079601603"/>
          <c:y val="0.16244830219685791"/>
          <c:w val="0.79788589160360845"/>
          <c:h val="0.5331040511823929"/>
        </c:manualLayout>
      </c:layout>
      <c:barChart>
        <c:barDir val="col"/>
        <c:grouping val="clustered"/>
        <c:varyColors val="0"/>
        <c:ser>
          <c:idx val="0"/>
          <c:order val="0"/>
          <c:spPr>
            <a:solidFill>
              <a:schemeClr val="tx1">
                <a:lumMod val="65000"/>
                <a:lumOff val="35000"/>
              </a:schemeClr>
            </a:solidFill>
            <a:ln>
              <a:noFill/>
            </a:ln>
            <a:effectLst/>
          </c:spPr>
          <c:invertIfNegative val="0"/>
          <c:errBars>
            <c:errBarType val="both"/>
            <c:errValType val="cust"/>
            <c:noEndCap val="0"/>
            <c:plus>
              <c:numRef>
                <c:f>std.dev!$AK$10:$AK$14</c:f>
                <c:numCache>
                  <c:formatCode>General</c:formatCode>
                  <c:ptCount val="5"/>
                  <c:pt idx="0">
                    <c:v>0</c:v>
                  </c:pt>
                  <c:pt idx="1">
                    <c:v>2.9672646541024283</c:v>
                  </c:pt>
                  <c:pt idx="2">
                    <c:v>6.124006445447276</c:v>
                  </c:pt>
                  <c:pt idx="3">
                    <c:v>5.2551706569599705</c:v>
                  </c:pt>
                  <c:pt idx="4">
                    <c:v>7.6030716873097299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std.dev!$AI$10:$AI$14</c:f>
              <c:strCache>
                <c:ptCount val="5"/>
                <c:pt idx="0">
                  <c:v>Control</c:v>
                </c:pt>
                <c:pt idx="1">
                  <c:v>1mM Palmitate</c:v>
                </c:pt>
                <c:pt idx="2">
                  <c:v>1NK</c:v>
                </c:pt>
                <c:pt idx="3">
                  <c:v>0.5NK</c:v>
                </c:pt>
                <c:pt idx="4">
                  <c:v>0.25NK</c:v>
                </c:pt>
              </c:strCache>
            </c:strRef>
          </c:cat>
          <c:val>
            <c:numRef>
              <c:f>std.dev!$AJ$10:$AJ$14</c:f>
              <c:numCache>
                <c:formatCode>General</c:formatCode>
                <c:ptCount val="5"/>
                <c:pt idx="0">
                  <c:v>100</c:v>
                </c:pt>
                <c:pt idx="1">
                  <c:v>76.980504002642533</c:v>
                </c:pt>
                <c:pt idx="2">
                  <c:v>83.112922062348972</c:v>
                </c:pt>
                <c:pt idx="3">
                  <c:v>77.049245889658494</c:v>
                </c:pt>
                <c:pt idx="4">
                  <c:v>80.102075061423591</c:v>
                </c:pt>
              </c:numCache>
            </c:numRef>
          </c:val>
          <c:extLst>
            <c:ext xmlns:c16="http://schemas.microsoft.com/office/drawing/2014/chart" uri="{C3380CC4-5D6E-409C-BE32-E72D297353CC}">
              <c16:uniqueId val="{00000000-7B24-445D-AFAA-2F04093DB454}"/>
            </c:ext>
          </c:extLst>
        </c:ser>
        <c:dLbls>
          <c:showLegendKey val="0"/>
          <c:showVal val="0"/>
          <c:showCatName val="0"/>
          <c:showSerName val="0"/>
          <c:showPercent val="0"/>
          <c:showBubbleSize val="0"/>
        </c:dLbls>
        <c:gapWidth val="219"/>
        <c:overlap val="-27"/>
        <c:axId val="1159465696"/>
        <c:axId val="1159467776"/>
      </c:barChart>
      <c:catAx>
        <c:axId val="115946569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Concentrations</a:t>
                </a:r>
                <a:r>
                  <a:rPr lang="en-IN" sz="1200" baseline="0">
                    <a:solidFill>
                      <a:sysClr val="windowText" lastClr="000000"/>
                    </a:solidFill>
                    <a:latin typeface="Times New Roman" panose="02020603050405020304" pitchFamily="18" charset="0"/>
                    <a:cs typeface="Times New Roman" panose="02020603050405020304" pitchFamily="18" charset="0"/>
                  </a:rPr>
                  <a:t> µg/GAE</a:t>
                </a:r>
                <a:endParaRPr lang="en-IN"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764360250622884"/>
              <c:y val="0.8674068507364384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9467776"/>
        <c:crosses val="autoZero"/>
        <c:auto val="1"/>
        <c:lblAlgn val="ctr"/>
        <c:lblOffset val="100"/>
        <c:noMultiLvlLbl val="0"/>
      </c:catAx>
      <c:valAx>
        <c:axId val="115946777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%Viability</a:t>
                </a:r>
              </a:p>
            </c:rich>
          </c:tx>
          <c:layout>
            <c:manualLayout>
              <c:xMode val="edge"/>
              <c:yMode val="edge"/>
              <c:x val="4.223589460490268E-2"/>
              <c:y val="0.2999803055988030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946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7091317142668"/>
          <c:y val="0.16224846894138234"/>
          <c:w val="0.84117449745659267"/>
          <c:h val="0.5502624671916011"/>
        </c:manualLayout>
      </c:layout>
      <c:barChart>
        <c:barDir val="col"/>
        <c:grouping val="clustered"/>
        <c:varyColors val="0"/>
        <c:ser>
          <c:idx val="0"/>
          <c:order val="0"/>
          <c:spPr>
            <a:solidFill>
              <a:schemeClr val="tx1">
                <a:lumMod val="65000"/>
                <a:lumOff val="35000"/>
              </a:schemeClr>
            </a:solidFill>
            <a:ln>
              <a:noFill/>
            </a:ln>
            <a:effectLst/>
          </c:spPr>
          <c:invertIfNegative val="0"/>
          <c:errBars>
            <c:errBarType val="both"/>
            <c:errValType val="cust"/>
            <c:noEndCap val="0"/>
            <c:plus>
              <c:numRef>
                <c:f>'std.dev 2mM PA VA MTT 24HRS'!$V$16:$V$20</c:f>
                <c:numCache>
                  <c:formatCode>General</c:formatCode>
                  <c:ptCount val="5"/>
                  <c:pt idx="0">
                    <c:v>0</c:v>
                  </c:pt>
                  <c:pt idx="1">
                    <c:v>12.523936081501885</c:v>
                  </c:pt>
                  <c:pt idx="2">
                    <c:v>17.280760822149748</c:v>
                  </c:pt>
                  <c:pt idx="3">
                    <c:v>17.81347749108312</c:v>
                  </c:pt>
                  <c:pt idx="4">
                    <c:v>17.557573164022177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'std.dev 2mM PA VA MTT 24HRS'!$T$16:$T$20</c:f>
              <c:strCache>
                <c:ptCount val="5"/>
                <c:pt idx="0">
                  <c:v>Control</c:v>
                </c:pt>
                <c:pt idx="1">
                  <c:v>1mM Palmitate</c:v>
                </c:pt>
                <c:pt idx="2">
                  <c:v>1 VA</c:v>
                </c:pt>
                <c:pt idx="3">
                  <c:v>0.5 VA</c:v>
                </c:pt>
                <c:pt idx="4">
                  <c:v>0.25 VA</c:v>
                </c:pt>
              </c:strCache>
            </c:strRef>
          </c:cat>
          <c:val>
            <c:numRef>
              <c:f>'std.dev 2mM PA VA MTT 24HRS'!$U$16:$U$20</c:f>
              <c:numCache>
                <c:formatCode>General</c:formatCode>
                <c:ptCount val="5"/>
                <c:pt idx="0">
                  <c:v>100</c:v>
                </c:pt>
                <c:pt idx="1">
                  <c:v>81.548526070883582</c:v>
                </c:pt>
                <c:pt idx="2">
                  <c:v>87.438571630160027</c:v>
                </c:pt>
                <c:pt idx="3">
                  <c:v>88.077520506218434</c:v>
                </c:pt>
                <c:pt idx="4">
                  <c:v>94.50126744072405</c:v>
                </c:pt>
              </c:numCache>
            </c:numRef>
          </c:val>
          <c:extLst>
            <c:ext xmlns:c16="http://schemas.microsoft.com/office/drawing/2014/chart" uri="{C3380CC4-5D6E-409C-BE32-E72D297353CC}">
              <c16:uniqueId val="{00000000-1C37-4904-A77E-70C67175BEB8}"/>
            </c:ext>
          </c:extLst>
        </c:ser>
        <c:dLbls>
          <c:showLegendKey val="0"/>
          <c:showVal val="0"/>
          <c:showCatName val="0"/>
          <c:showSerName val="0"/>
          <c:showPercent val="0"/>
          <c:showBubbleSize val="0"/>
        </c:dLbls>
        <c:gapWidth val="246"/>
        <c:overlap val="-28"/>
        <c:axId val="1201601919"/>
        <c:axId val="1"/>
      </c:barChart>
      <c:catAx>
        <c:axId val="1201601919"/>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IN" sz="1200">
                    <a:solidFill>
                      <a:sysClr val="windowText" lastClr="000000"/>
                    </a:solidFill>
                    <a:latin typeface="Times New Roman" panose="02020603050405020304" pitchFamily="18" charset="0"/>
                    <a:cs typeface="Times New Roman" panose="02020603050405020304" pitchFamily="18" charset="0"/>
                  </a:rPr>
                  <a:t>Concentration µg/GAE </a:t>
                </a:r>
              </a:p>
            </c:rich>
          </c:tx>
          <c:layout>
            <c:manualLayout>
              <c:xMode val="edge"/>
              <c:yMode val="edge"/>
              <c:x val="0.42141977806133918"/>
              <c:y val="0.86089238845144356"/>
            </c:manualLayout>
          </c:layout>
          <c:overlay val="0"/>
          <c:spPr>
            <a:noFill/>
            <a:ln>
              <a:noFill/>
            </a:ln>
            <a:effectLst/>
          </c:spPr>
        </c:title>
        <c:numFmt formatCode="General" sourceLinked="1"/>
        <c:majorTickMark val="out"/>
        <c:minorTickMark val="none"/>
        <c:tickLblPos val="nextTo"/>
        <c:spPr>
          <a:noFill/>
          <a:ln w="19050" cap="flat" cmpd="sng" algn="ctr">
            <a:solidFill>
              <a:schemeClr val="dk1"/>
            </a:solidFill>
            <a:prstDash val="solid"/>
            <a:miter lim="800000"/>
          </a:ln>
          <a:effectLst/>
        </c:spPr>
        <c:txPr>
          <a:bodyPr rot="0" vert="horz"/>
          <a:lstStyle/>
          <a:p>
            <a:pPr>
              <a:defRPr sz="1200">
                <a:solidFill>
                  <a:schemeClr val="tx1"/>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tickMarkSkip val="1"/>
        <c:noMultiLvlLbl val="0"/>
      </c:catAx>
      <c:valAx>
        <c:axId val="1"/>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en-IN" sz="1200">
                    <a:latin typeface="Times New Roman" panose="02020603050405020304" pitchFamily="18" charset="0"/>
                    <a:cs typeface="Times New Roman" panose="02020603050405020304" pitchFamily="18" charset="0"/>
                  </a:rPr>
                  <a:t>%Viability</a:t>
                </a:r>
              </a:p>
            </c:rich>
          </c:tx>
          <c:layout>
            <c:manualLayout>
              <c:xMode val="edge"/>
              <c:yMode val="edge"/>
              <c:x val="2.1958717610891524E-2"/>
              <c:y val="0.31065162130324264"/>
            </c:manualLayout>
          </c:layout>
          <c:overlay val="0"/>
          <c:spPr>
            <a:noFill/>
            <a:ln>
              <a:noFill/>
            </a:ln>
            <a:effectLst/>
          </c:spPr>
        </c:title>
        <c:numFmt formatCode="General" sourceLinked="1"/>
        <c:majorTickMark val="out"/>
        <c:minorTickMark val="none"/>
        <c:tickLblPos val="nextTo"/>
        <c:spPr>
          <a:noFill/>
          <a:ln>
            <a:noFill/>
          </a:ln>
          <a:effectLst/>
        </c:spPr>
        <c:txPr>
          <a:bodyPr rot="0" vert="horz"/>
          <a:lstStyle/>
          <a:p>
            <a:pPr>
              <a:defRPr sz="12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n-US"/>
          </a:p>
        </c:txPr>
        <c:crossAx val="1201601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latin typeface="Times New Roman" panose="02020603050405020304" pitchFamily="18" charset="0"/>
                <a:cs typeface="Times New Roman" panose="02020603050405020304" pitchFamily="18" charset="0"/>
              </a:rPr>
              <a:t>DPP4 secretion from</a:t>
            </a:r>
            <a:r>
              <a:rPr lang="en-GB" b="1" baseline="0">
                <a:solidFill>
                  <a:schemeClr val="tx1"/>
                </a:solidFill>
                <a:latin typeface="Times New Roman" panose="02020603050405020304" pitchFamily="18" charset="0"/>
                <a:cs typeface="Times New Roman" panose="02020603050405020304" pitchFamily="18" charset="0"/>
              </a:rPr>
              <a:t> CaCo2 cells</a:t>
            </a:r>
            <a:endParaRPr lang="en-GB"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741006430799922"/>
          <c:y val="0.17628326996197718"/>
          <c:w val="0.78294034000466928"/>
          <c:h val="0.59939036256399514"/>
        </c:manualLayout>
      </c:layout>
      <c:barChart>
        <c:barDir val="col"/>
        <c:grouping val="clustered"/>
        <c:varyColors val="0"/>
        <c:ser>
          <c:idx val="0"/>
          <c:order val="0"/>
          <c:spPr>
            <a:solidFill>
              <a:schemeClr val="tx1">
                <a:lumMod val="75000"/>
                <a:lumOff val="25000"/>
              </a:schemeClr>
            </a:solidFill>
            <a:ln>
              <a:noFill/>
            </a:ln>
            <a:effectLst/>
          </c:spPr>
          <c:invertIfNegative val="0"/>
          <c:cat>
            <c:strRef>
              <c:f>'[DPP4 VA NK CACO2.xlsx]Sheet1'!$B$2:$B$9</c:f>
              <c:strCache>
                <c:ptCount val="8"/>
                <c:pt idx="0">
                  <c:v>C</c:v>
                </c:pt>
                <c:pt idx="1">
                  <c:v>SITA 100</c:v>
                </c:pt>
                <c:pt idx="2">
                  <c:v>VA 01</c:v>
                </c:pt>
                <c:pt idx="3">
                  <c:v>VA 02</c:v>
                </c:pt>
                <c:pt idx="4">
                  <c:v>VA 04</c:v>
                </c:pt>
                <c:pt idx="5">
                  <c:v>NK 01</c:v>
                </c:pt>
                <c:pt idx="6">
                  <c:v>NK 02</c:v>
                </c:pt>
                <c:pt idx="7">
                  <c:v>NK 04</c:v>
                </c:pt>
              </c:strCache>
            </c:strRef>
          </c:cat>
          <c:val>
            <c:numRef>
              <c:f>'[DPP4 VA NK CACO2.xlsx]Sheet1'!$C$2:$C$9</c:f>
              <c:numCache>
                <c:formatCode>General</c:formatCode>
                <c:ptCount val="8"/>
                <c:pt idx="0">
                  <c:v>100</c:v>
                </c:pt>
                <c:pt idx="1">
                  <c:v>33.519553072625698</c:v>
                </c:pt>
                <c:pt idx="2">
                  <c:v>61.452513966480446</c:v>
                </c:pt>
                <c:pt idx="3">
                  <c:v>49.4413407821229</c:v>
                </c:pt>
                <c:pt idx="4">
                  <c:v>53.770949720670394</c:v>
                </c:pt>
                <c:pt idx="5">
                  <c:v>84.916201117318437</c:v>
                </c:pt>
                <c:pt idx="6">
                  <c:v>55.167597765363126</c:v>
                </c:pt>
                <c:pt idx="7">
                  <c:v>54.888268156424594</c:v>
                </c:pt>
              </c:numCache>
            </c:numRef>
          </c:val>
          <c:extLst>
            <c:ext xmlns:c16="http://schemas.microsoft.com/office/drawing/2014/chart" uri="{C3380CC4-5D6E-409C-BE32-E72D297353CC}">
              <c16:uniqueId val="{00000000-BE5D-460A-AD47-A865A3041E6D}"/>
            </c:ext>
          </c:extLst>
        </c:ser>
        <c:dLbls>
          <c:showLegendKey val="0"/>
          <c:showVal val="0"/>
          <c:showCatName val="0"/>
          <c:showSerName val="0"/>
          <c:showPercent val="0"/>
          <c:showBubbleSize val="0"/>
        </c:dLbls>
        <c:gapWidth val="219"/>
        <c:overlap val="-27"/>
        <c:axId val="1479728719"/>
        <c:axId val="1479602463"/>
      </c:barChart>
      <c:catAx>
        <c:axId val="1479728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Concentrations</a:t>
                </a:r>
                <a:r>
                  <a:rPr lang="en-IN" sz="1200" baseline="0">
                    <a:solidFill>
                      <a:schemeClr val="tx1"/>
                    </a:solidFill>
                    <a:latin typeface="Times New Roman" panose="02020603050405020304" pitchFamily="18" charset="0"/>
                    <a:cs typeface="Times New Roman" panose="02020603050405020304" pitchFamily="18" charset="0"/>
                  </a:rPr>
                  <a:t> </a:t>
                </a:r>
                <a:r>
                  <a:rPr lang="en-IN" sz="120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rPr>
                  <a:t>µg/GAE</a:t>
                </a:r>
                <a:endParaRPr lang="en-IN"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79602463"/>
        <c:crosses val="autoZero"/>
        <c:auto val="1"/>
        <c:lblAlgn val="ctr"/>
        <c:lblOffset val="100"/>
        <c:noMultiLvlLbl val="0"/>
      </c:catAx>
      <c:valAx>
        <c:axId val="14796024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a:t>
                </a:r>
                <a:r>
                  <a:rPr lang="en-IN" sz="1200" baseline="0">
                    <a:solidFill>
                      <a:schemeClr val="tx1"/>
                    </a:solidFill>
                    <a:latin typeface="Times New Roman" panose="02020603050405020304" pitchFamily="18" charset="0"/>
                    <a:cs typeface="Times New Roman" panose="02020603050405020304" pitchFamily="18" charset="0"/>
                  </a:rPr>
                  <a:t> of DPP4 secretion</a:t>
                </a:r>
                <a:endParaRPr lang="en-IN"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5269435660165121E-2"/>
              <c:y val="0.20418662614891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797287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sheet!$G$3:$G$25</cx:f>
        <cx:lvl ptCount="23">
          <cx:pt idx="0">Benzene and substituted derivatives</cx:pt>
          <cx:pt idx="1">Phenols</cx:pt>
          <cx:pt idx="2">Organooxygen compounds</cx:pt>
          <cx:pt idx="3">Tannins</cx:pt>
          <cx:pt idx="4">Prenol lipids</cx:pt>
          <cx:pt idx="5">Flavonoids</cx:pt>
          <cx:pt idx="6">Pteridines and derivatives</cx:pt>
          <cx:pt idx="7">Cinnamic acids and derivatives</cx:pt>
          <cx:pt idx="8">Fatty Acyls</cx:pt>
          <cx:pt idx="9">Steroids and steroid derivatives</cx:pt>
          <cx:pt idx="10">Coumarins and derivatives</cx:pt>
          <cx:pt idx="11">Indolonaphthyridine alkaloids</cx:pt>
          <cx:pt idx="12">Dihydrofurans</cx:pt>
          <cx:pt idx="13">Indoles and derivatives</cx:pt>
          <cx:pt idx="14">Anthracenes</cx:pt>
          <cx:pt idx="15">Imidazopyrimidines</cx:pt>
          <cx:pt idx="16">Diarylheptanoids</cx:pt>
          <cx:pt idx="17">Unsaturated hydrocarbons</cx:pt>
          <cx:pt idx="18">Strychnos alkaloids</cx:pt>
          <cx:pt idx="19">Phenylpropanoids and polyketides</cx:pt>
          <cx:pt idx="20">Organic oxides</cx:pt>
          <cx:pt idx="21">Harmala alkoloids</cx:pt>
          <cx:pt idx="22">Organic sulfuric acids and derivatives</cx:pt>
        </cx:lvl>
      </cx:strDim>
      <cx:numDim type="val">
        <cx:f>sheet!$H$3:$H$25</cx:f>
        <cx:lvl ptCount="23" formatCode="General">
          <cx:pt idx="0">6</cx:pt>
          <cx:pt idx="1">4</cx:pt>
          <cx:pt idx="2">17</cx:pt>
          <cx:pt idx="3">9</cx:pt>
          <cx:pt idx="4">83</cx:pt>
          <cx:pt idx="5">14</cx:pt>
          <cx:pt idx="6">1</cx:pt>
          <cx:pt idx="7">7</cx:pt>
          <cx:pt idx="8">8</cx:pt>
          <cx:pt idx="9">9</cx:pt>
          <cx:pt idx="10">2</cx:pt>
          <cx:pt idx="11">3</cx:pt>
          <cx:pt idx="12">1</cx:pt>
          <cx:pt idx="13">2</cx:pt>
          <cx:pt idx="14">7</cx:pt>
          <cx:pt idx="15">1</cx:pt>
          <cx:pt idx="16">5</cx:pt>
          <cx:pt idx="17">2</cx:pt>
          <cx:pt idx="18">2</cx:pt>
          <cx:pt idx="19">4</cx:pt>
          <cx:pt idx="20">1</cx:pt>
          <cx:pt idx="21">2</cx:pt>
          <cx:pt idx="22">2</cx:pt>
        </cx:lvl>
      </cx:numDim>
    </cx:data>
  </cx:chartData>
  <cx:chart>
    <cx:title pos="t" align="ctr" overlay="0">
      <cx:tx>
        <cx:txData>
          <cx:v>Nishakathakadi</cx:v>
        </cx:txData>
      </cx:tx>
      <cx:txPr>
        <a:bodyPr rot="0" spcFirstLastPara="1" vertOverflow="ellipsis" vert="horz" wrap="square" lIns="0" tIns="0" rIns="0" bIns="0" anchor="ctr" anchorCtr="1"/>
        <a:lstStyle/>
        <a:p>
          <a:pPr algn="ctr">
            <a:defRPr/>
          </a:pPr>
          <a:r>
            <a:rPr lang="en-US" sz="1800" b="1" i="1">
              <a:solidFill>
                <a:schemeClr val="accent1">
                  <a:lumMod val="75000"/>
                </a:schemeClr>
              </a:solidFill>
              <a:latin typeface="Times New Roman" panose="02020603050405020304" pitchFamily="18" charset="0"/>
              <a:cs typeface="Times New Roman" panose="02020603050405020304" pitchFamily="18" charset="0"/>
            </a:rPr>
            <a:t>Nishakathakadi</a:t>
          </a:r>
        </a:p>
      </cx:txPr>
    </cx:title>
    <cx:plotArea>
      <cx:plotAreaRegion>
        <cx:series layoutId="boxWhisker" uniqueId="{DB705E70-C564-43DA-A0CD-69C3C526867D}">
          <cx:dataId val="0"/>
          <cx:layoutPr>
            <cx:visibility meanLine="0" meanMarker="1" nonoutliers="0" outliers="1"/>
            <cx:statistics quartileMethod="exclusive"/>
          </cx:layoutPr>
        </cx:series>
      </cx:plotAreaRegion>
      <cx:axis id="0">
        <cx:catScaling gapWidth="1"/>
        <cx:title>
          <cx:tx>
            <cx:rich>
              <a:bodyPr spcFirstLastPara="1" vertOverflow="ellipsis" wrap="square" lIns="0" tIns="0" rIns="0" bIns="0" anchor="ctr" anchorCtr="1"/>
              <a:lstStyle/>
              <a:p>
                <a:pPr marL="0" marR="0" lvl="0" indent="0" algn="ctr" defTabSz="914400" eaLnBrk="1" fontAlgn="auto" latinLnBrk="0" hangingPunct="1">
                  <a:lnSpc>
                    <a:spcPct val="100000"/>
                  </a:lnSpc>
                  <a:spcBef>
                    <a:spcPts val="0"/>
                  </a:spcBef>
                  <a:spcAft>
                    <a:spcPts val="0"/>
                  </a:spcAft>
                  <a:buClrTx/>
                  <a:buSzTx/>
                  <a:buFontTx/>
                  <a:buNone/>
                  <a:tabLst/>
                  <a:defRPr/>
                </a:pPr>
                <a:r>
                  <a:rPr lang="en-US" sz="1200" b="1" i="0" u="none" strike="noStrike" baseline="0">
                    <a:solidFill>
                      <a:schemeClr val="accent1">
                        <a:lumMod val="75000"/>
                      </a:schemeClr>
                    </a:solidFill>
                    <a:effectLst/>
                    <a:latin typeface="Times New Roman" panose="02020603050405020304" pitchFamily="18" charset="0"/>
                    <a:cs typeface="Times New Roman" panose="02020603050405020304" pitchFamily="18" charset="0"/>
                  </a:rPr>
                  <a:t>Different classes of  phytochemicals</a:t>
                </a:r>
                <a:endParaRPr lang="en-IN" sz="1200">
                  <a:solidFill>
                    <a:schemeClr val="accent1">
                      <a:lumMod val="75000"/>
                    </a:schemeClr>
                  </a:solidFill>
                  <a:effectLst/>
                  <a:latin typeface="Times New Roman" panose="02020603050405020304" pitchFamily="18" charset="0"/>
                  <a:cs typeface="Times New Roman" panose="02020603050405020304" pitchFamily="18" charset="0"/>
                </a:endParaRPr>
              </a:p>
              <a:p>
                <a:pPr marL="0" marR="0" lvl="0" indent="0" algn="ctr" defTabSz="914400" eaLnBrk="1" fontAlgn="auto" latinLnBrk="0" hangingPunct="1">
                  <a:lnSpc>
                    <a:spcPct val="100000"/>
                  </a:lnSpc>
                  <a:spcBef>
                    <a:spcPts val="0"/>
                  </a:spcBef>
                  <a:spcAft>
                    <a:spcPts val="0"/>
                  </a:spcAft>
                  <a:buClrTx/>
                  <a:buSzTx/>
                  <a:buFontTx/>
                  <a:buNone/>
                  <a:tabLst/>
                  <a:defRPr/>
                </a:pPr>
                <a:endParaRPr lang="en-US"/>
              </a:p>
            </cx:rich>
          </cx:tx>
        </cx:title>
        <cx:tickLabels/>
        <cx:spPr>
          <a:noFill/>
          <a:ln w="19050" cap="flat" cmpd="sng" algn="ctr">
            <a:solidFill>
              <a:schemeClr val="dk1"/>
            </a:solidFill>
            <a:prstDash val="solid"/>
            <a:miter lim="800000"/>
          </a:ln>
          <a:effectLst/>
        </cx:spPr>
        <cx:txPr>
          <a:bodyPr rot="-60000000" spcFirstLastPara="1" vertOverflow="ellipsis" vert="horz" wrap="square" lIns="0" tIns="0" rIns="0" bIns="0" anchor="ctr" anchorCtr="1"/>
          <a:lstStyle/>
          <a:p>
            <a:pPr>
              <a:defRPr lang="en-US" sz="1200" b="0" i="0" u="none" strike="noStrike" kern="1200" baseline="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a:solidFill>
                <a:schemeClr val="tx1"/>
              </a:solidFill>
              <a:latin typeface="Times New Roman" panose="02020603050405020304" pitchFamily="18" charset="0"/>
              <a:cs typeface="Times New Roman" panose="02020603050405020304" pitchFamily="18" charset="0"/>
            </a:endParaRPr>
          </a:p>
        </cx:txPr>
      </cx:axis>
      <cx:axis id="1">
        <cx:valScaling/>
        <cx:title>
          <cx:tx>
            <cx:rich>
              <a:bodyPr spcFirstLastPara="1" vertOverflow="ellipsis" wrap="square" lIns="0" tIns="0" rIns="0" bIns="0" anchor="ctr" anchorCtr="1"/>
              <a:lstStyle/>
              <a:p>
                <a:pPr marL="0" marR="0" lvl="0" indent="0" algn="ctr" defTabSz="914400" eaLnBrk="1" fontAlgn="auto" latinLnBrk="0" hangingPunct="1">
                  <a:lnSpc>
                    <a:spcPct val="100000"/>
                  </a:lnSpc>
                  <a:spcBef>
                    <a:spcPts val="0"/>
                  </a:spcBef>
                  <a:spcAft>
                    <a:spcPts val="0"/>
                  </a:spcAft>
                  <a:buClrTx/>
                  <a:buSzTx/>
                  <a:buFontTx/>
                  <a:buNone/>
                  <a:tabLst/>
                  <a:defRPr/>
                </a:pPr>
                <a:r>
                  <a:rPr lang="en-US" sz="1200" b="1" i="0" u="none" strike="noStrike" baseline="0">
                    <a:solidFill>
                      <a:schemeClr val="accent1">
                        <a:lumMod val="75000"/>
                      </a:schemeClr>
                    </a:solidFill>
                    <a:effectLst/>
                    <a:latin typeface="Times New Roman" panose="02020603050405020304" pitchFamily="18" charset="0"/>
                    <a:cs typeface="Times New Roman" panose="02020603050405020304" pitchFamily="18" charset="0"/>
                  </a:rPr>
                  <a:t>No. of Phytochemicals</a:t>
                </a:r>
                <a:endParaRPr lang="en-IN" sz="1200" b="1" i="0">
                  <a:solidFill>
                    <a:schemeClr val="accent1">
                      <a:lumMod val="75000"/>
                    </a:schemeClr>
                  </a:solidFill>
                  <a:effectLst/>
                  <a:latin typeface="Times New Roman" panose="02020603050405020304" pitchFamily="18" charset="0"/>
                  <a:cs typeface="Times New Roman" panose="02020603050405020304" pitchFamily="18" charset="0"/>
                </a:endParaRPr>
              </a:p>
              <a:p>
                <a:pPr marL="0" marR="0" lvl="0" indent="0" algn="ctr" defTabSz="914400" eaLnBrk="1" fontAlgn="auto" latinLnBrk="0" hangingPunct="1">
                  <a:lnSpc>
                    <a:spcPct val="100000"/>
                  </a:lnSpc>
                  <a:spcBef>
                    <a:spcPts val="0"/>
                  </a:spcBef>
                  <a:spcAft>
                    <a:spcPts val="0"/>
                  </a:spcAft>
                  <a:buClrTx/>
                  <a:buSzTx/>
                  <a:buFontTx/>
                  <a:buNone/>
                  <a:tabLst/>
                  <a:defRPr/>
                </a:pPr>
                <a:r>
                  <a:rPr lang="en-US"/>
                  <a:t> </a:t>
                </a:r>
              </a:p>
            </cx:rich>
          </cx:tx>
        </cx:title>
        <cx:tickLabels/>
        <cx:spPr>
          <a:noFill/>
          <a:ln w="19050" cap="flat" cmpd="sng" algn="ctr">
            <a:solidFill>
              <a:schemeClr val="dk1"/>
            </a:solidFill>
            <a:prstDash val="solid"/>
            <a:miter lim="800000"/>
          </a:ln>
          <a:effectLst/>
        </cx:spPr>
        <cx:txPr>
          <a:bodyPr rot="-60000000" spcFirstLastPara="1" vertOverflow="ellipsis" vert="horz" wrap="square" lIns="0" tIns="0" rIns="0" bIns="0" anchor="ctr" anchorCtr="1"/>
          <a:lstStyle/>
          <a:p>
            <a:pPr>
              <a:defRPr lang="en-US" sz="1200" b="0" i="0" u="none" strike="noStrike" kern="1200" baseline="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a:solidFill>
                <a:schemeClr val="tx1"/>
              </a:solidFill>
              <a:latin typeface="Times New Roman" panose="02020603050405020304" pitchFamily="18" charset="0"/>
              <a:cs typeface="Times New Roman" panose="02020603050405020304" pitchFamily="18" charset="0"/>
            </a:endParaRPr>
          </a:p>
        </cx:txPr>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sheet!$D$3:$D$33</cx:f>
        <cx:lvl ptCount="31">
          <cx:pt idx="0">Benzene and substituted derivatives</cx:pt>
          <cx:pt idx="1">Phenols</cx:pt>
          <cx:pt idx="2">Organooxygen compounds</cx:pt>
          <cx:pt idx="3">Tannins</cx:pt>
          <cx:pt idx="4">Prenol lipids</cx:pt>
          <cx:pt idx="5">Flavonoids</cx:pt>
          <cx:pt idx="6">Pteridines and derivatives</cx:pt>
          <cx:pt idx="7">Cinnamic acids and derivatives</cx:pt>
          <cx:pt idx="8">Fatty Acyls</cx:pt>
          <cx:pt idx="9">Steroids and steroid derivatives</cx:pt>
          <cx:pt idx="10">Coumarins and derivatives</cx:pt>
          <cx:pt idx="11">Indolonaphthyridine alkaloids</cx:pt>
          <cx:pt idx="12">Dihydrofurans</cx:pt>
          <cx:pt idx="13">Indoles and derivatives</cx:pt>
          <cx:pt idx="14">Anthracenes</cx:pt>
          <cx:pt idx="15">Quinolines and derivatives</cx:pt>
          <cx:pt idx="16">Azoles</cx:pt>
          <cx:pt idx="17">Naphthalenes</cx:pt>
          <cx:pt idx="18">Phenanthrenes and derivatives</cx:pt>
          <cx:pt idx="19">Aporphines</cx:pt>
          <cx:pt idx="20">Benzothiazoles</cx:pt>
          <cx:pt idx="21">Carboxylic acids and derivatives</cx:pt>
          <cx:pt idx="22">Organonitrogen compounds</cx:pt>
          <cx:pt idx="23">Biflavonoids and polyflavonoids</cx:pt>
          <cx:pt idx="24">Amino acids, peptides, and analogues</cx:pt>
          <cx:pt idx="25">Pyridines and derivatives</cx:pt>
          <cx:pt idx="26">Saturated hydrocarbons</cx:pt>
          <cx:pt idx="27">Alkyl halides</cx:pt>
          <cx:pt idx="28">Epoxides</cx:pt>
          <cx:pt idx="29">Non-metal oxoanionic compounds</cx:pt>
          <cx:pt idx="30">Indenes and isoindenes</cx:pt>
        </cx:lvl>
      </cx:strDim>
      <cx:numDim type="val">
        <cx:f>sheet!$E$3:$E$33</cx:f>
        <cx:lvl ptCount="31" formatCode="General">
          <cx:pt idx="0">8</cx:pt>
          <cx:pt idx="1">3</cx:pt>
          <cx:pt idx="2">13</cx:pt>
          <cx:pt idx="3">12</cx:pt>
          <cx:pt idx="4">15</cx:pt>
          <cx:pt idx="5">10</cx:pt>
          <cx:pt idx="6">1</cx:pt>
          <cx:pt idx="7">4</cx:pt>
          <cx:pt idx="8">13</cx:pt>
          <cx:pt idx="9">9</cx:pt>
          <cx:pt idx="10">16</cx:pt>
          <cx:pt idx="11">2</cx:pt>
          <cx:pt idx="12">1</cx:pt>
          <cx:pt idx="13">2</cx:pt>
          <cx:pt idx="14">1</cx:pt>
          <cx:pt idx="15">3</cx:pt>
          <cx:pt idx="16">1</cx:pt>
          <cx:pt idx="17">9</cx:pt>
          <cx:pt idx="18">1</cx:pt>
          <cx:pt idx="19">1</cx:pt>
          <cx:pt idx="20">1</cx:pt>
          <cx:pt idx="21">14</cx:pt>
          <cx:pt idx="22">1</cx:pt>
          <cx:pt idx="23">1</cx:pt>
          <cx:pt idx="24">1</cx:pt>
          <cx:pt idx="25">1</cx:pt>
          <cx:pt idx="26">2</cx:pt>
          <cx:pt idx="27">1</cx:pt>
          <cx:pt idx="28">1</cx:pt>
          <cx:pt idx="29">1</cx:pt>
          <cx:pt idx="30">1</cx:pt>
        </cx:lvl>
      </cx:numDim>
    </cx:data>
  </cx:chartData>
  <cx:chart>
    <cx:title pos="t" align="ctr" overlay="0">
      <cx:tx>
        <cx:txData>
          <cx:v>Varanadi</cx:v>
        </cx:txData>
      </cx:tx>
      <cx:spPr>
        <a:noFill/>
      </cx:spPr>
      <cx:txPr>
        <a:bodyPr rot="0" spcFirstLastPara="1" vertOverflow="ellipsis" vert="horz" wrap="square" lIns="0" tIns="0" rIns="0" bIns="0" anchor="ctr" anchorCtr="1"/>
        <a:lstStyle/>
        <a:p>
          <a:pPr algn="ctr">
            <a:defRPr lang="en-US" sz="2400" b="0" i="0" u="none" strike="noStrike" kern="1200" spc="0" baseline="0">
              <a:solidFill>
                <a:srgbClr val="000000">
                  <a:lumMod val="65000"/>
                  <a:lumOff val="35000"/>
                </a:srgbClr>
              </a:solidFill>
              <a:latin typeface="Calibri" panose="020F0502020204030204"/>
            </a:defRPr>
          </a:pPr>
          <a:r>
            <a:rPr lang="en-US" sz="2400" b="1" i="1">
              <a:solidFill>
                <a:schemeClr val="accent1">
                  <a:lumMod val="50000"/>
                </a:schemeClr>
              </a:solidFill>
              <a:latin typeface="Times New Roman" panose="02020603050405020304" pitchFamily="18" charset="0"/>
              <a:cs typeface="Times New Roman" panose="02020603050405020304" pitchFamily="18" charset="0"/>
            </a:rPr>
            <a:t>Varanadi</a:t>
          </a:r>
        </a:p>
      </cx:txPr>
    </cx:title>
    <cx:plotArea>
      <cx:plotAreaRegion>
        <cx:plotSurface>
          <cx:spPr>
            <a:noFill/>
          </cx:spPr>
        </cx:plotSurface>
        <cx:series layoutId="boxWhisker" uniqueId="{B2762708-AC20-43E5-B4F0-FE93A24DAD6B}">
          <cx:spPr>
            <a:solidFill>
              <a:schemeClr val="accent1">
                <a:lumMod val="50000"/>
              </a:schemeClr>
            </a:solidFill>
            <a:ln>
              <a:solidFill>
                <a:schemeClr val="accent1">
                  <a:lumMod val="75000"/>
                </a:schemeClr>
              </a:solidFill>
            </a:ln>
          </cx:spPr>
          <cx:dataId val="0"/>
          <cx:layoutPr>
            <cx:visibility meanLine="0" meanMarker="1" nonoutliers="0" outliers="1"/>
            <cx:statistics quartileMethod="exclusive"/>
          </cx:layoutPr>
        </cx:series>
      </cx:plotAreaRegion>
      <cx:axis id="0">
        <cx:catScaling gapWidth="1"/>
        <cx:title>
          <cx:tx>
            <cx:rich>
              <a:bodyPr spcFirstLastPara="1" vertOverflow="ellipsis" wrap="square" lIns="0" tIns="0" rIns="0" bIns="0" anchor="ctr" anchorCtr="1"/>
              <a:lstStyle/>
              <a:p>
                <a:pPr marL="0" marR="0" lvl="0" indent="0" algn="ctr" defTabSz="914400" eaLnBrk="1" fontAlgn="auto" latinLnBrk="0" hangingPunct="1">
                  <a:lnSpc>
                    <a:spcPct val="100000"/>
                  </a:lnSpc>
                  <a:spcBef>
                    <a:spcPts val="0"/>
                  </a:spcBef>
                  <a:spcAft>
                    <a:spcPts val="0"/>
                  </a:spcAft>
                  <a:buClrTx/>
                  <a:buSzTx/>
                  <a:buFontTx/>
                  <a:buNone/>
                  <a:tabLst/>
                  <a:defRPr lang="en-US" sz="1200" b="0" i="0" u="none" strike="noStrike" baseline="0">
                    <a:solidFill>
                      <a:schemeClr val="accent1">
                        <a:lumMod val="75000"/>
                      </a:schemeClr>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200" b="1" i="0" u="none" strike="noStrike" baseline="0">
                    <a:solidFill>
                      <a:schemeClr val="accent1">
                        <a:lumMod val="75000"/>
                      </a:schemeClr>
                    </a:solidFill>
                    <a:effectLst/>
                    <a:latin typeface="Times New Roman" panose="02020603050405020304" pitchFamily="18" charset="0"/>
                    <a:cs typeface="Times New Roman" panose="02020603050405020304" pitchFamily="18" charset="0"/>
                  </a:rPr>
                  <a:t>Different classes of  phytochemicals</a:t>
                </a:r>
                <a:endParaRPr lang="en-IN" sz="1200">
                  <a:solidFill>
                    <a:schemeClr val="accent1">
                      <a:lumMod val="75000"/>
                    </a:schemeClr>
                  </a:solidFill>
                  <a:effectLst/>
                  <a:latin typeface="Times New Roman" panose="02020603050405020304" pitchFamily="18" charset="0"/>
                  <a:cs typeface="Times New Roman" panose="02020603050405020304" pitchFamily="18" charset="0"/>
                </a:endParaRPr>
              </a:p>
              <a:p>
                <a:pPr marL="0" marR="0" lvl="0" indent="0" algn="ctr" defTabSz="914400" eaLnBrk="1" fontAlgn="auto" latinLnBrk="0" hangingPunct="1">
                  <a:lnSpc>
                    <a:spcPct val="100000"/>
                  </a:lnSpc>
                  <a:spcBef>
                    <a:spcPts val="0"/>
                  </a:spcBef>
                  <a:spcAft>
                    <a:spcPts val="0"/>
                  </a:spcAft>
                  <a:buClrTx/>
                  <a:buSzTx/>
                  <a:buFontTx/>
                  <a:buNone/>
                  <a:tabLst/>
                  <a:defRPr lang="en-US" sz="1200" b="0" i="0" u="none" strike="noStrike" baseline="0">
                    <a:solidFill>
                      <a:schemeClr val="accent1">
                        <a:lumMod val="7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a:p>
            </cx:rich>
          </cx:tx>
        </cx:title>
        <cx:tickLabels/>
        <cx:spPr>
          <a:noFill/>
          <a:ln w="19050" cap="flat" cmpd="sng" algn="ctr">
            <a:solidFill>
              <a:schemeClr val="dk1"/>
            </a:solidFill>
            <a:prstDash val="solid"/>
            <a:miter lim="800000"/>
          </a:ln>
          <a:effectLst/>
        </cx:spPr>
        <cx:txPr>
          <a:bodyPr spcFirstLastPara="1" vertOverflow="ellipsis" wrap="square" lIns="0" tIns="0" rIns="0" bIns="0" anchor="ctr" anchorCtr="1"/>
          <a:lstStyle/>
          <a:p>
            <a:pPr>
              <a:defRPr lang="en-US" sz="1200" b="0" i="0" u="none" strike="noStrike" kern="1200" cap="none" spc="0" normalizeH="0" baseline="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a:solidFill>
                <a:schemeClr val="tx1"/>
              </a:solidFill>
              <a:latin typeface="Times New Roman" panose="02020603050405020304" pitchFamily="18" charset="0"/>
              <a:cs typeface="Times New Roman" panose="02020603050405020304" pitchFamily="18" charset="0"/>
            </a:endParaRPr>
          </a:p>
        </cx:txPr>
      </cx:axis>
      <cx:axis id="1">
        <cx:valScaling/>
        <cx:title>
          <cx:tx>
            <cx:rich>
              <a:bodyPr spcFirstLastPara="1" vertOverflow="ellipsis" wrap="square" lIns="0" tIns="0" rIns="0" bIns="0" anchor="ctr" anchorCtr="1"/>
              <a:lstStyle/>
              <a:p>
                <a:pPr marL="0" marR="0" lvl="0" indent="0" algn="ctr" defTabSz="914400" eaLnBrk="1" fontAlgn="auto" latinLnBrk="0" hangingPunct="1">
                  <a:lnSpc>
                    <a:spcPct val="100000"/>
                  </a:lnSpc>
                  <a:spcBef>
                    <a:spcPts val="0"/>
                  </a:spcBef>
                  <a:spcAft>
                    <a:spcPts val="0"/>
                  </a:spcAft>
                  <a:buClrTx/>
                  <a:buSzTx/>
                  <a:buFontTx/>
                  <a:buNone/>
                  <a:tabLst/>
                  <a:defRPr lang="en-US" sz="1200" b="0" i="0" u="none" strike="noStrike" baseline="0">
                    <a:solidFill>
                      <a:schemeClr val="accent1">
                        <a:lumMod val="75000"/>
                      </a:schemeClr>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200" b="1" i="0" u="none" strike="noStrike" baseline="0">
                    <a:solidFill>
                      <a:schemeClr val="accent1">
                        <a:lumMod val="75000"/>
                      </a:schemeClr>
                    </a:solidFill>
                    <a:effectLst/>
                    <a:latin typeface="Times New Roman" panose="02020603050405020304" pitchFamily="18" charset="0"/>
                    <a:cs typeface="Times New Roman" panose="02020603050405020304" pitchFamily="18" charset="0"/>
                  </a:rPr>
                  <a:t>No. of Phytochemicals</a:t>
                </a:r>
                <a:endParaRPr lang="en-IN" sz="1200">
                  <a:solidFill>
                    <a:schemeClr val="accent1">
                      <a:lumMod val="75000"/>
                    </a:schemeClr>
                  </a:solidFill>
                  <a:effectLst/>
                  <a:latin typeface="Times New Roman" panose="02020603050405020304" pitchFamily="18" charset="0"/>
                  <a:cs typeface="Times New Roman" panose="02020603050405020304" pitchFamily="18" charset="0"/>
                </a:endParaRPr>
              </a:p>
              <a:p>
                <a:pPr marL="0" marR="0" lvl="0" indent="0" algn="ctr" defTabSz="914400" eaLnBrk="1" fontAlgn="auto" latinLnBrk="0" hangingPunct="1">
                  <a:lnSpc>
                    <a:spcPct val="100000"/>
                  </a:lnSpc>
                  <a:spcBef>
                    <a:spcPts val="0"/>
                  </a:spcBef>
                  <a:spcAft>
                    <a:spcPts val="0"/>
                  </a:spcAft>
                  <a:buClrTx/>
                  <a:buSzTx/>
                  <a:buFontTx/>
                  <a:buNone/>
                  <a:tabLst/>
                  <a:defRPr lang="en-US" sz="1200" b="0" i="0" u="none" strike="noStrike" baseline="0">
                    <a:solidFill>
                      <a:schemeClr val="accent1">
                        <a:lumMod val="7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a:p>
            </cx:rich>
          </cx:tx>
        </cx:title>
        <cx:tickLabels/>
        <cx:spPr>
          <a:noFill/>
          <a:ln w="19050" cap="flat" cmpd="sng" algn="ctr">
            <a:solidFill>
              <a:schemeClr val="dk1"/>
            </a:solidFill>
            <a:prstDash val="solid"/>
            <a:miter lim="800000"/>
          </a:ln>
          <a:effectLst/>
        </cx:spPr>
        <cx:txPr>
          <a:bodyPr spcFirstLastPara="1" vertOverflow="ellipsis" wrap="square" lIns="0" tIns="0" rIns="0" bIns="0" anchor="ctr" anchorCtr="1"/>
          <a:lstStyle/>
          <a:p>
            <a:pPr>
              <a:defRPr lang="en-US" sz="1200" b="0" i="0" u="none" strike="noStrike" kern="1200" cap="none" spc="0" normalizeH="0" baseline="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a:solidFill>
                <a:schemeClr val="tx1"/>
              </a:solidFill>
              <a:latin typeface="Times New Roman" panose="02020603050405020304" pitchFamily="18" charset="0"/>
              <a:cs typeface="Times New Roman" panose="02020603050405020304" pitchFamily="18" charset="0"/>
            </a:endParaRPr>
          </a:p>
        </cx:txPr>
      </cx:axis>
    </cx:plotArea>
  </cx:chart>
  <cx:spPr>
    <a:ln cap="rnd" cmpd="sng">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4800D-AE16-4AA6-AF9A-C3E876B3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100</Pages>
  <Words>42128</Words>
  <Characters>240136</Characters>
  <Application>Microsoft Office Word</Application>
  <DocSecurity>0</DocSecurity>
  <Lines>2001</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triune</dc:creator>
  <cp:keywords/>
  <dc:description/>
  <cp:lastModifiedBy>triune</cp:lastModifiedBy>
  <cp:revision>3</cp:revision>
  <dcterms:created xsi:type="dcterms:W3CDTF">2024-07-09T09:00:00Z</dcterms:created>
  <dcterms:modified xsi:type="dcterms:W3CDTF">2024-07-09T13:00:00Z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id="4B8JV54Y"/&gt;&lt;style id="http://www.zotero.org/styles/apa" locale="en-US" hasBibliography="1" bibliographyStyleHasBeenSet="1"/&gt;&lt;prefs&gt;&lt;pref name="fieldType" value="Field"/&gt;&lt;/prefs&gt;&lt;/data&gt;</vt:lpwstr>
  </property>
</Properties>
</file>